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93" w:rsidRDefault="00263E93" w:rsidP="00263E93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01DB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 xml:space="preserve">и результаты </w:t>
      </w:r>
      <w:r w:rsidRPr="00EE01DB">
        <w:rPr>
          <w:rFonts w:ascii="Times New Roman" w:hAnsi="Times New Roman"/>
          <w:sz w:val="28"/>
          <w:szCs w:val="28"/>
        </w:rPr>
        <w:t xml:space="preserve">деятельности </w:t>
      </w:r>
    </w:p>
    <w:p w:rsidR="00263E93" w:rsidRDefault="00263E93" w:rsidP="00263E93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01DB">
        <w:rPr>
          <w:rFonts w:ascii="Times New Roman" w:hAnsi="Times New Roman"/>
          <w:sz w:val="28"/>
          <w:szCs w:val="28"/>
        </w:rPr>
        <w:t>Контрольно-счетной палаты Республики Хакасия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3E93" w:rsidRPr="00EE01DB" w:rsidRDefault="00263E93" w:rsidP="00263E93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2006-2020 годов</w:t>
      </w:r>
    </w:p>
    <w:p w:rsidR="00804B30" w:rsidRPr="00EE01DB" w:rsidRDefault="00804B30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отмечается 15-летие с момента образования Контрольно-счетной палаты Республики Хакасия.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данный период органом внешнего государственного финансового контроля Республики Хакасия проведен значительный объем контрольных, экспертно-аналитических и организационно-методических мероприятий, подготовлен комплекс информационно-аналитических материалов и предложений в рамках законодательной инициативы, направленных на решение проблемных вопросов обоснованности планирования бюджетных затрат, целевого и эффективного использования бюджетных средств на всех уровнях бюджетной системы Республики Хакасия и снижение рисков неправомерного использования финансовых и материальных </w:t>
      </w:r>
      <w:r w:rsidR="00A93E97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, что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способствовало действительному выполнению намеченных государственных мер в приоритетных областях социально-экономического развития республики.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число отраслевых приоритетов при ежегодном планировании работы Контрольно-счетной палаты включались целевые ориентиры развития, сформулированные Президентом Российской Федерации в рамках соответствующих указов Президента Российской Федерации и национальных проектов и, сформированных на их основе рекомендаций и предложений Счетной палаты Российской Федерации и Верховного Совета Республики Хакасия.</w:t>
      </w:r>
      <w:proofErr w:type="gramEnd"/>
      <w:r>
        <w:rPr>
          <w:rFonts w:ascii="Times New Roman" w:hAnsi="Times New Roman"/>
          <w:sz w:val="28"/>
          <w:szCs w:val="28"/>
        </w:rPr>
        <w:t xml:space="preserve"> Сферой контроля охвачены социально значимые для населения и, имеющие постоянный общественный резонанс вопросы состояния здравоохранения и образования, социальной помощи и жилищно-коммунальной обеспеченности, реализации государственных программ и планов развития Республики Хакасия.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основе результатов и выводов контрольной и экспертно-аналитической работы Палатой подготовлены для органов государственной </w:t>
      </w:r>
      <w:r>
        <w:rPr>
          <w:rFonts w:ascii="Times New Roman" w:hAnsi="Times New Roman"/>
          <w:sz w:val="28"/>
          <w:szCs w:val="28"/>
        </w:rPr>
        <w:lastRenderedPageBreak/>
        <w:t>власти и местного самоуправления Республики Хакасия предложения по совершенствованию механизмов бюджетного планирования и межбюджетных отношений, резервному доходному потенциалу регионального и местных бюджетов и действующей региональной системы налогообложения, по вопросам оказания медицинской помощи и государственной поддержки наиболее незащищенных слоев населения, формирования экономически обоснованных тарифов на услуги ЖКХ</w:t>
      </w:r>
      <w:proofErr w:type="gramEnd"/>
      <w:r>
        <w:rPr>
          <w:rFonts w:ascii="Times New Roman" w:hAnsi="Times New Roman"/>
          <w:sz w:val="28"/>
          <w:szCs w:val="28"/>
        </w:rPr>
        <w:t>. Отдельные направления контрольной и экспертно-аналитической работы связаны с состоянием реализации национальных (региональных) проектов, непосредственно направленных на улучшение качества жизни населения и эффективное управление финансовыми и материальными ресурсами при достижении поставленных целей в рамках проектов, своевременным устранением причин и условий принятия неправомерных управленческих решений, препятствующих достижению планируемых результатов в данной сфере.</w:t>
      </w:r>
    </w:p>
    <w:p w:rsidR="00804B30" w:rsidRDefault="00804B30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72B">
        <w:rPr>
          <w:rFonts w:ascii="Times New Roman" w:hAnsi="Times New Roman"/>
          <w:sz w:val="28"/>
          <w:szCs w:val="28"/>
        </w:rPr>
        <w:t>В течение 15-летнего периода с учетом ориентиров</w:t>
      </w:r>
      <w:r w:rsidR="0062272B">
        <w:rPr>
          <w:rFonts w:ascii="Times New Roman" w:hAnsi="Times New Roman"/>
          <w:sz w:val="28"/>
          <w:szCs w:val="28"/>
        </w:rPr>
        <w:t xml:space="preserve"> социального и экономического развития закрепленных в</w:t>
      </w:r>
      <w:r w:rsidR="0062272B" w:rsidRPr="0062272B">
        <w:rPr>
          <w:rFonts w:ascii="Times New Roman" w:hAnsi="Times New Roman"/>
          <w:sz w:val="28"/>
          <w:szCs w:val="28"/>
        </w:rPr>
        <w:t xml:space="preserve"> </w:t>
      </w:r>
      <w:r w:rsidR="0062272B">
        <w:rPr>
          <w:rFonts w:ascii="Times New Roman" w:hAnsi="Times New Roman"/>
          <w:sz w:val="28"/>
          <w:szCs w:val="28"/>
        </w:rPr>
        <w:t>федеральных и региональных нормативных правовых документах изменились и полномочий Контрольно-счетной палаты, их содержание и направленность. Экспертно-аналитическая составляющая становится приоритетной в деятельности Палаты.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практическую деятельность Палаты внедрен аудит эффективности</w:t>
      </w:r>
      <w:r w:rsidR="00804B30">
        <w:rPr>
          <w:rFonts w:ascii="Times New Roman" w:hAnsi="Times New Roman"/>
          <w:sz w:val="28"/>
          <w:szCs w:val="28"/>
        </w:rPr>
        <w:t xml:space="preserve"> использования</w:t>
      </w:r>
      <w:r>
        <w:rPr>
          <w:rFonts w:ascii="Times New Roman" w:hAnsi="Times New Roman"/>
          <w:sz w:val="28"/>
          <w:szCs w:val="28"/>
        </w:rPr>
        <w:t xml:space="preserve"> государственных ресурсов и аудит государственных закупок, товаров, работ и услуг для государственных нужд, мониторинг исполнения регионального бюджета и бюджета Территориального фонда обязательного медицинского страхования Республики Хакасия, состояния реализации национальных (региональных) проектов, анализ причин и условий возникновения рисков нецелевых и неправомерных бюджетных </w:t>
      </w:r>
      <w:r w:rsidR="00A93E97"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hAnsi="Times New Roman"/>
          <w:sz w:val="28"/>
          <w:szCs w:val="28"/>
        </w:rPr>
        <w:t>, что способствовало минимизации «затратных» механизмов освоения бюджетных средств и усовершенствованию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методик их распределения.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всех направлениях контрольной и экспертно-аналитической деятельности выстроено конструктивное взаимодействие с органами законодательной и исполнительной власти Республики Хакасия, Прокуратурой Республики Хакасия и Счетной палатой Российской Федерации.</w:t>
      </w:r>
    </w:p>
    <w:p w:rsidR="00263E93" w:rsidRDefault="00263E93" w:rsidP="00263E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2006-2020 годов проведено 293 контрольных и экспертно-аналитических мероприятия на 1826 объектах органов государственной власти и местного самоуправления Республики Хакасия. В рамках проведенных мероприятий исполнено 126 поручений Верховного Совета Республики Хакасия, Главы Республики Хакасия – Председателя Правительства Республики Хакасия, 26 предложений Прокуратуры Республики Хакасия и 8 предложений Счетной палаты Российской Федерации</w:t>
      </w:r>
      <w:r w:rsidR="00BB06D5">
        <w:rPr>
          <w:rFonts w:ascii="Times New Roman" w:hAnsi="Times New Roman"/>
          <w:sz w:val="28"/>
          <w:szCs w:val="28"/>
        </w:rPr>
        <w:t xml:space="preserve"> (Диаграмма №1)</w:t>
      </w:r>
      <w:r>
        <w:rPr>
          <w:rFonts w:ascii="Times New Roman" w:hAnsi="Times New Roman"/>
          <w:sz w:val="28"/>
          <w:szCs w:val="28"/>
        </w:rPr>
        <w:t xml:space="preserve"> (</w:t>
      </w:r>
      <w:r w:rsidR="0062272B">
        <w:rPr>
          <w:rFonts w:ascii="Times New Roman" w:hAnsi="Times New Roman"/>
          <w:sz w:val="28"/>
          <w:szCs w:val="28"/>
        </w:rPr>
        <w:t>Слайд</w:t>
      </w:r>
      <w:r w:rsidR="00BB0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</w:p>
    <w:p w:rsidR="00263E93" w:rsidRDefault="0062272B" w:rsidP="00263E9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</w:t>
      </w:r>
      <w:r w:rsidR="00BB06D5">
        <w:rPr>
          <w:rFonts w:ascii="Times New Roman" w:hAnsi="Times New Roman"/>
          <w:sz w:val="28"/>
          <w:szCs w:val="28"/>
        </w:rPr>
        <w:t xml:space="preserve"> </w:t>
      </w:r>
      <w:r w:rsidR="00263E93">
        <w:rPr>
          <w:rFonts w:ascii="Times New Roman" w:hAnsi="Times New Roman"/>
          <w:sz w:val="28"/>
          <w:szCs w:val="28"/>
        </w:rPr>
        <w:t xml:space="preserve">1 </w:t>
      </w:r>
    </w:p>
    <w:p w:rsidR="00263E93" w:rsidRPr="00BB535B" w:rsidRDefault="00263E93" w:rsidP="00263E93">
      <w:pPr>
        <w:jc w:val="center"/>
        <w:rPr>
          <w:rFonts w:ascii="Times New Roman" w:hAnsi="Times New Roman"/>
          <w:b/>
          <w:sz w:val="28"/>
          <w:szCs w:val="28"/>
        </w:rPr>
      </w:pPr>
      <w:r w:rsidRPr="00BB535B">
        <w:rPr>
          <w:rFonts w:ascii="Times New Roman" w:hAnsi="Times New Roman"/>
          <w:b/>
          <w:sz w:val="28"/>
          <w:szCs w:val="28"/>
        </w:rPr>
        <w:t>Обоснование мероприятий контрольных и экспертно-аналитических мероприятий в период 2006-2020 годов (единиц)</w:t>
      </w:r>
    </w:p>
    <w:p w:rsidR="00263E93" w:rsidRDefault="00263E93" w:rsidP="00263E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1085" cy="3776870"/>
            <wp:effectExtent l="19050" t="0" r="2106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результатам контрольных и экспертно-аналитических мероприяти</w:t>
      </w:r>
      <w:r w:rsidR="0062272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подготовлено и направлено в адрес Верховного Совета Республики Хакасия, Главе Республики Хакасия – Председателя Правительства Республики Хакасия и объектам проверок 308 отчетов и заключений.</w: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исследуемый период Контрольно-счетной палатой подготовлено 323 заключения финансово-экономических экспертиз на проекты нормативно-правовых актов органов государственной власти Республики Хакасия по вопросам формирования и исполнения республиканского бюджета Республики Хакасия, бюджетного процесса и межбюджетных отношений, налогообложения, использования государственной собственности, формирования и исполнения государственных программ и программ стратегического развития республики, реализации региональных проектов.</w: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указанный период Палатой установлены финансовые нарушения и иные недостатки на общую сумму</w:t>
      </w:r>
      <w:r w:rsidR="00A93E97">
        <w:rPr>
          <w:rFonts w:ascii="Times New Roman" w:hAnsi="Times New Roman"/>
          <w:sz w:val="28"/>
          <w:szCs w:val="28"/>
        </w:rPr>
        <w:t xml:space="preserve"> свыше</w:t>
      </w:r>
      <w:r>
        <w:rPr>
          <w:rFonts w:ascii="Times New Roman" w:hAnsi="Times New Roman"/>
          <w:sz w:val="28"/>
          <w:szCs w:val="28"/>
        </w:rPr>
        <w:t xml:space="preserve"> 8,4 млрд. руб. Структура нарушений представлена </w:t>
      </w:r>
      <w:r w:rsidR="00BB06D5">
        <w:rPr>
          <w:rFonts w:ascii="Times New Roman" w:hAnsi="Times New Roman"/>
          <w:sz w:val="28"/>
          <w:szCs w:val="28"/>
        </w:rPr>
        <w:t>в диаграмме №2</w:t>
      </w:r>
      <w:r>
        <w:rPr>
          <w:rFonts w:ascii="Times New Roman" w:hAnsi="Times New Roman"/>
          <w:sz w:val="28"/>
          <w:szCs w:val="28"/>
        </w:rPr>
        <w:t xml:space="preserve"> </w:t>
      </w:r>
      <w:r w:rsidR="00BB06D5">
        <w:rPr>
          <w:rFonts w:ascii="Times New Roman" w:hAnsi="Times New Roman"/>
          <w:sz w:val="28"/>
          <w:szCs w:val="28"/>
        </w:rPr>
        <w:t>(</w:t>
      </w:r>
      <w:r w:rsidR="00680573"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</w:rPr>
        <w:t xml:space="preserve"> 2</w:t>
      </w:r>
      <w:r w:rsidR="00BB06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63E93" w:rsidRDefault="00680573" w:rsidP="00263E9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</w:t>
      </w:r>
      <w:r w:rsidR="00BB06D5">
        <w:rPr>
          <w:rFonts w:ascii="Times New Roman" w:hAnsi="Times New Roman"/>
          <w:sz w:val="28"/>
          <w:szCs w:val="28"/>
        </w:rPr>
        <w:t xml:space="preserve"> </w:t>
      </w:r>
      <w:r w:rsidR="00263E93">
        <w:rPr>
          <w:rFonts w:ascii="Times New Roman" w:hAnsi="Times New Roman"/>
          <w:sz w:val="28"/>
          <w:szCs w:val="28"/>
        </w:rPr>
        <w:t>2</w:t>
      </w:r>
    </w:p>
    <w:p w:rsidR="00263E93" w:rsidRPr="00F36119" w:rsidRDefault="00263E93" w:rsidP="00263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119">
        <w:rPr>
          <w:rFonts w:ascii="Times New Roman" w:hAnsi="Times New Roman"/>
          <w:b/>
          <w:sz w:val="28"/>
          <w:szCs w:val="28"/>
        </w:rPr>
        <w:t xml:space="preserve">Структура нарушений, выявленных в период 2006-2020 года </w:t>
      </w:r>
    </w:p>
    <w:p w:rsidR="00263E93" w:rsidRPr="00F36119" w:rsidRDefault="00263E93" w:rsidP="00263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119">
        <w:rPr>
          <w:rFonts w:ascii="Times New Roman" w:hAnsi="Times New Roman"/>
          <w:b/>
          <w:sz w:val="28"/>
          <w:szCs w:val="28"/>
        </w:rPr>
        <w:t>(мл</w:t>
      </w:r>
      <w:r>
        <w:rPr>
          <w:rFonts w:ascii="Times New Roman" w:hAnsi="Times New Roman"/>
          <w:b/>
          <w:sz w:val="28"/>
          <w:szCs w:val="28"/>
        </w:rPr>
        <w:t>н</w:t>
      </w:r>
      <w:r w:rsidRPr="00F36119">
        <w:rPr>
          <w:rFonts w:ascii="Times New Roman" w:hAnsi="Times New Roman"/>
          <w:b/>
          <w:sz w:val="28"/>
          <w:szCs w:val="28"/>
        </w:rPr>
        <w:t>. руб.)</w:t>
      </w:r>
    </w:p>
    <w:p w:rsidR="00263E93" w:rsidRDefault="002209FF" w:rsidP="00263E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09F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3E93" w:rsidRDefault="00263E93" w:rsidP="00263E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3E93" w:rsidRDefault="00263E93" w:rsidP="00263E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 xml:space="preserve">Наибольший объем неправомерных бюджетных затрат связан </w:t>
      </w:r>
      <w:proofErr w:type="gramStart"/>
      <w:r w:rsidRPr="00AD4C61">
        <w:rPr>
          <w:rFonts w:ascii="Times New Roman" w:hAnsi="Times New Roman"/>
          <w:sz w:val="28"/>
          <w:szCs w:val="28"/>
        </w:rPr>
        <w:t>с</w:t>
      </w:r>
      <w:proofErr w:type="gramEnd"/>
      <w:r w:rsidRPr="00AD4C61">
        <w:rPr>
          <w:rFonts w:ascii="Times New Roman" w:hAnsi="Times New Roman"/>
          <w:sz w:val="28"/>
          <w:szCs w:val="28"/>
        </w:rPr>
        <w:t xml:space="preserve"> нарушениями при формировании и исполнении республиканского бюджета Республики Хакасия, ведением бухгалтерского учета, составлением и представлением бухгалтерской (финансовой) отчетности, при управлении и </w:t>
      </w:r>
      <w:r w:rsidRPr="00AD4C61">
        <w:rPr>
          <w:rFonts w:ascii="Times New Roman" w:hAnsi="Times New Roman"/>
          <w:sz w:val="28"/>
          <w:szCs w:val="28"/>
        </w:rPr>
        <w:lastRenderedPageBreak/>
        <w:t>распоряжении государственной собственностью и осуществлении закупок для государственных и муниципальных нужд.</w:t>
      </w: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>По результатам проверок руководителям органов государственной и муниципальной власти направлено более полутора тысяч предложений и рекомендаций, и свыше 200 представлений по устранению выявленных нарушений и недостатков. Более 1200 предложений и рекомендаций получили практическую реализацию в форме мер нормативного правового, организационного и административного характера.</w:t>
      </w:r>
      <w:r w:rsidR="00680573">
        <w:rPr>
          <w:rFonts w:ascii="Times New Roman" w:hAnsi="Times New Roman"/>
          <w:sz w:val="28"/>
          <w:szCs w:val="28"/>
        </w:rPr>
        <w:t xml:space="preserve"> Информация представлена в диаграмме </w:t>
      </w:r>
      <w:r w:rsidR="00BB06D5">
        <w:rPr>
          <w:rFonts w:ascii="Times New Roman" w:hAnsi="Times New Roman"/>
          <w:sz w:val="28"/>
          <w:szCs w:val="28"/>
        </w:rPr>
        <w:t xml:space="preserve">№ 2 </w:t>
      </w:r>
      <w:r w:rsidR="00680573">
        <w:rPr>
          <w:rFonts w:ascii="Times New Roman" w:hAnsi="Times New Roman"/>
          <w:sz w:val="28"/>
          <w:szCs w:val="28"/>
        </w:rPr>
        <w:t>(слайд №3)</w: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0573" w:rsidRPr="00AD4C61" w:rsidRDefault="00680573" w:rsidP="0068057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3</w:t>
      </w:r>
    </w:p>
    <w:p w:rsidR="00263E93" w:rsidRPr="00263E93" w:rsidRDefault="00263E93" w:rsidP="00263E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3E93">
        <w:rPr>
          <w:rFonts w:ascii="Times New Roman" w:hAnsi="Times New Roman"/>
          <w:b/>
          <w:sz w:val="28"/>
          <w:szCs w:val="28"/>
        </w:rPr>
        <w:t xml:space="preserve">Меры реагирования на предложения и рекомендации </w:t>
      </w:r>
    </w:p>
    <w:p w:rsidR="00263E93" w:rsidRPr="00AD4C61" w:rsidRDefault="00263E93" w:rsidP="00263E9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63E93">
        <w:rPr>
          <w:rFonts w:ascii="Times New Roman" w:hAnsi="Times New Roman"/>
          <w:b/>
          <w:sz w:val="28"/>
          <w:szCs w:val="28"/>
        </w:rPr>
        <w:t>в период 2006-2020 годов</w:t>
      </w:r>
    </w:p>
    <w:p w:rsidR="00263E93" w:rsidRDefault="008E602C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group id="_x0000_s1043" style="position:absolute;left:0;text-align:left;margin-left:-9.45pt;margin-top:4pt;width:492.35pt;height:497pt;z-index:251662336" coordorigin="1512,4150" coordsize="9847,9940">
            <v:group id="_x0000_s1026" style="position:absolute;left:1512;top:4150;width:9847;height:9940" coordorigin="1428,5589" coordsize="9847,99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428;top:5589;width:9847;height:9940">
                <v:textbox style="mso-next-textbox:#_x0000_s1027">
                  <w:txbxContent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Default="002579A7" w:rsidP="00263E93"/>
                    <w:p w:rsidR="002579A7" w:rsidRPr="0016293D" w:rsidRDefault="002579A7" w:rsidP="00263E93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2579A7" w:rsidRDefault="002579A7" w:rsidP="00263E93"/>
                    <w:p w:rsidR="002579A7" w:rsidRPr="0016293D" w:rsidRDefault="002579A7" w:rsidP="00263E93">
                      <w:pPr>
                        <w:spacing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2579A7" w:rsidRDefault="002579A7" w:rsidP="00263E93"/>
                  </w:txbxContent>
                </v:textbox>
              </v:shape>
              <v:group id="_x0000_s1028" style="position:absolute;left:2978;top:6210;width:7813;height:8747" coordorigin="2978,6210" coordsize="7813,8747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left:7460;top:6210;width:1397;height:8747"/>
                <v:oval id="_x0000_s1030" style="position:absolute;left:9126;top:9911;width:1665;height:1322" fillcolor="white [3201]" strokecolor="#4f81bd [3204]" strokeweight="5pt">
                  <v:stroke linestyle="thickThin"/>
                  <v:shadow color="#868686"/>
                  <v:textbox style="mso-next-textbox:#_x0000_s1030">
                    <w:txbxContent>
                      <w:p w:rsidR="002579A7" w:rsidRPr="003430D1" w:rsidRDefault="002579A7" w:rsidP="00263E93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2579A7" w:rsidRPr="0016293D" w:rsidRDefault="00A93E97" w:rsidP="00263E9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</w:rPr>
                          <w:t>12</w:t>
                        </w:r>
                        <w:r w:rsidR="002579A7" w:rsidRPr="0016293D"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30"/>
                          </w:rPr>
                          <w:t>4</w:t>
                        </w:r>
                      </w:p>
                      <w:p w:rsidR="002579A7" w:rsidRDefault="002579A7" w:rsidP="00263E93">
                        <w:pPr>
                          <w:spacing w:after="0"/>
                        </w:pPr>
                      </w:p>
                    </w:txbxContent>
                  </v:textbox>
                </v:oval>
                <v:group id="_x0000_s1031" style="position:absolute;left:2978;top:6210;width:4224;height:8730" coordorigin="2978,6210" coordsize="4224,8730">
                  <v:roundrect id="_x0000_s1032" style="position:absolute;left:2978;top:6210;width:4224;height:1960" arcsize="10923f" fillcolor="#92cddc [1944]" strokecolor="#92cddc [1944]" strokeweight="1pt">
                    <v:fill color2="#daeef3 [664]" angle="-45" focus="-50%" type="gradient"/>
                    <v:shadow on="t" type="perspective" color="#205867 [1608]" opacity=".5" offset="1pt" offset2="-3pt"/>
                    <v:textbox style="mso-next-textbox:#_x0000_s1032">
                      <w:txbxContent>
                        <w:p w:rsidR="002579A7" w:rsidRDefault="002579A7" w:rsidP="00263E93">
                          <w:pPr>
                            <w:spacing w:after="0" w:line="240" w:lineRule="auto"/>
                            <w:jc w:val="center"/>
                          </w:pPr>
                          <w:r w:rsidRPr="008045B9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Принятие законов Республики Хакасия и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</w:t>
                          </w:r>
                          <w:r w:rsidRPr="008045B9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остановлений Верховного Совета Республики Хакасия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и постановлений Правительства Республики Хакасия</w:t>
                          </w:r>
                        </w:p>
                      </w:txbxContent>
                    </v:textbox>
                  </v:roundrect>
                  <v:roundrect id="_x0000_s1033" style="position:absolute;left:2978;top:8450;width:4224;height:1480" arcsize="10923f" fillcolor="#c2d69b [1942]" strokecolor="#c2d69b [1942]" strokeweight="1pt">
                    <v:fill color2="#eaf1dd [662]" angle="-45" focus="-50%" type="gradient"/>
                    <v:shadow on="t" type="perspective" color="#4e6128 [1606]" opacity=".5" offset="1pt" offset2="-3pt"/>
                    <v:textbox style="mso-next-textbox:#_x0000_s1033">
                      <w:txbxContent>
                        <w:p w:rsidR="002579A7" w:rsidRDefault="002579A7" w:rsidP="00263E93">
                          <w:pPr>
                            <w:spacing w:after="0" w:line="240" w:lineRule="auto"/>
                            <w:jc w:val="center"/>
                          </w:pP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Принятие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организационно-методических мер</w:t>
                          </w:r>
                        </w:p>
                      </w:txbxContent>
                    </v:textbox>
                  </v:roundrect>
                  <v:roundrect id="_x0000_s1034" style="position:absolute;left:2978;top:10237;width:4224;height:1381" arcsize="10923f" fillcolor="#fabf8f [1945]" strokecolor="#fabf8f [1945]" strokeweight="1pt">
                    <v:fill color2="#fde9d9 [665]" angle="-45" focus="-50%" type="gradient"/>
                    <v:shadow on="t" type="perspective" color="#974706 [1609]" opacity=".5" offset="1pt" offset2="-3pt"/>
                    <v:textbox style="mso-next-textbox:#_x0000_s1034">
                      <w:txbxContent>
                        <w:p w:rsidR="002579A7" w:rsidRPr="003430D1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Принятие</w:t>
                          </w: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внутриведомственных </w:t>
                          </w: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НПА</w:t>
                          </w:r>
                        </w:p>
                      </w:txbxContent>
                    </v:textbox>
                  </v:roundre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35" type="#_x0000_t176" style="position:absolute;left:2978;top:11974;width:4224;height:1381" fillcolor="#d99594 [1941]" strokecolor="#d99594 [1941]" strokeweight="1pt">
                    <v:fill color2="#f2dbdb [661]" angle="-45" focus="-50%" type="gradient"/>
                    <v:shadow on="t" type="perspective" color="#622423 [1605]" opacity=".5" offset="1pt" offset2="-3pt"/>
                    <v:textbox style="mso-next-textbox:#_x0000_s1035">
                      <w:txbxContent>
                        <w:p w:rsidR="002579A7" w:rsidRDefault="002579A7" w:rsidP="00263E93">
                          <w:pPr>
                            <w:spacing w:after="0" w:line="240" w:lineRule="auto"/>
                            <w:jc w:val="center"/>
                          </w:pP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Принятие</w:t>
                          </w: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административных мер</w:t>
                          </w:r>
                        </w:p>
                      </w:txbxContent>
                    </v:textbox>
                  </v:shape>
                  <v:shape id="_x0000_s1036" type="#_x0000_t176" style="position:absolute;left:2978;top:13669;width:4224;height:1271" fillcolor="#b2a1c7 [1943]" strokecolor="#b2a1c7 [1943]" strokeweight="1pt">
                    <v:fill color2="#e5dfec [663]" angle="-45" focus="-50%" type="gradient"/>
                    <v:shadow on="t" type="perspective" color="#3f3151 [1607]" opacity=".5" offset="1pt" offset2="-3pt"/>
                    <v:textbox style="mso-next-textbox:#_x0000_s1036">
                      <w:txbxContent>
                        <w:p w:rsidR="002579A7" w:rsidRDefault="002579A7" w:rsidP="00263E93">
                          <w:pPr>
                            <w:spacing w:after="0" w:line="240" w:lineRule="auto"/>
                          </w:pPr>
                        </w:p>
                        <w:p w:rsidR="002579A7" w:rsidRPr="000351CC" w:rsidRDefault="002579A7" w:rsidP="00263E9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0351CC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Принятие мер прокурорского реагирования</w:t>
                          </w:r>
                        </w:p>
                      </w:txbxContent>
                    </v:textbox>
                  </v:shape>
                </v:group>
              </v:group>
            </v:group>
            <v:group id="_x0000_s1037" style="position:absolute;left:1688;top:5211;width:1140;height:8248" coordorigin="1688,6692" coordsize="1140,8248">
              <v:oval id="_x0000_s1038" style="position:absolute;left:1688;top:6692;width:1054;height:980" fillcolor="white [3201]" strokecolor="#4bacc6 [3208]" strokeweight="5pt">
                <v:stroke linestyle="thickThin"/>
                <v:shadow color="#868686"/>
                <v:textbox>
                  <w:txbxContent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6"/>
                          <w:szCs w:val="6"/>
                        </w:rPr>
                      </w:pPr>
                    </w:p>
                    <w:p w:rsidR="002579A7" w:rsidRPr="0016293D" w:rsidRDefault="002579A7" w:rsidP="00263E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6293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122</w:t>
                      </w:r>
                    </w:p>
                  </w:txbxContent>
                </v:textbox>
              </v:oval>
              <v:oval id="_x0000_s1039" style="position:absolute;left:1688;top:8663;width:1037;height:1048" fillcolor="white [3201]" strokecolor="#9bbb59 [3206]" strokeweight="5pt">
                <v:stroke linestyle="thickThin"/>
                <v:shadow color="#868686"/>
                <v:textbox>
                  <w:txbxContent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6293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6</w:t>
                      </w:r>
                      <w:r w:rsidR="00A93E97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14</w:t>
                      </w:r>
                    </w:p>
                  </w:txbxContent>
                </v:textbox>
              </v:oval>
              <v:oval id="_x0000_s1040" style="position:absolute;left:1715;top:10506;width:1049;height:1049" fillcolor="white [3201]" strokecolor="#f79646 [3209]" strokeweight="5pt">
                <v:stroke linestyle="thickThin"/>
                <v:shadow color="#868686"/>
                <v:textbox>
                  <w:txbxContent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2579A7" w:rsidRPr="0016293D" w:rsidRDefault="002579A7" w:rsidP="00263E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6293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160</w:t>
                      </w:r>
                    </w:p>
                  </w:txbxContent>
                </v:textbox>
              </v:oval>
              <v:oval id="_x0000_s1041" style="position:absolute;left:1688;top:12188;width:1076;height:1083" fillcolor="white [3201]" strokecolor="#c0504d [3205]" strokeweight="5pt">
                <v:stroke linestyle="thickThin"/>
                <v:shadow color="#868686"/>
                <v:textbox>
                  <w:txbxContent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2579A7" w:rsidRPr="0016293D" w:rsidRDefault="002579A7" w:rsidP="00263E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16293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110</w:t>
                      </w:r>
                    </w:p>
                  </w:txbxContent>
                </v:textbox>
              </v:oval>
              <v:oval id="_x0000_s1042" style="position:absolute;left:1688;top:13819;width:1140;height:1121" fillcolor="white [3201]" strokecolor="#8064a2 [3207]" strokeweight="5pt">
                <v:stroke linestyle="thickThin"/>
                <v:shadow color="#868686"/>
                <v:textbox style="mso-next-textbox:#_x0000_s1042">
                  <w:txbxContent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2579A7" w:rsidRPr="000E6279" w:rsidRDefault="002579A7" w:rsidP="00263E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0E627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258</w:t>
                      </w:r>
                    </w:p>
                    <w:p w:rsidR="002579A7" w:rsidRPr="0016293D" w:rsidRDefault="002579A7" w:rsidP="00263E93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v:group>
          </v:group>
        </w:pic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E93" w:rsidRPr="00AD4C61" w:rsidRDefault="00263E93" w:rsidP="00263E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lastRenderedPageBreak/>
        <w:t xml:space="preserve">Выводы, </w:t>
      </w:r>
      <w:r w:rsidR="00971E0F">
        <w:rPr>
          <w:rFonts w:ascii="Times New Roman" w:hAnsi="Times New Roman"/>
          <w:sz w:val="28"/>
          <w:szCs w:val="28"/>
        </w:rPr>
        <w:t>предложения</w:t>
      </w:r>
      <w:r w:rsidRPr="00AD4C61">
        <w:rPr>
          <w:rFonts w:ascii="Times New Roman" w:hAnsi="Times New Roman"/>
          <w:sz w:val="28"/>
          <w:szCs w:val="28"/>
        </w:rPr>
        <w:t xml:space="preserve"> и рекомендации Контрольно-счетной палаты по результатам контрольной и экспертно-аналитической деятельности учтены при принятии </w:t>
      </w:r>
      <w:r>
        <w:rPr>
          <w:rFonts w:ascii="Times New Roman" w:hAnsi="Times New Roman"/>
          <w:sz w:val="28"/>
          <w:szCs w:val="28"/>
        </w:rPr>
        <w:t xml:space="preserve">122 </w:t>
      </w:r>
      <w:r w:rsidRPr="00AD4C61">
        <w:rPr>
          <w:rFonts w:ascii="Times New Roman" w:hAnsi="Times New Roman"/>
          <w:sz w:val="28"/>
          <w:szCs w:val="28"/>
        </w:rPr>
        <w:t>законов Республики Хакасия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4C61">
        <w:rPr>
          <w:rFonts w:ascii="Times New Roman" w:hAnsi="Times New Roman"/>
          <w:sz w:val="28"/>
          <w:szCs w:val="28"/>
        </w:rPr>
        <w:t>постановлений Президиума Верховного Совета Республики Хакасия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D4C61">
        <w:rPr>
          <w:rFonts w:ascii="Times New Roman" w:hAnsi="Times New Roman"/>
          <w:sz w:val="28"/>
          <w:szCs w:val="28"/>
        </w:rPr>
        <w:t xml:space="preserve"> постановлений Правительства Республики Хакасия, </w:t>
      </w:r>
      <w:r>
        <w:rPr>
          <w:rFonts w:ascii="Times New Roman" w:hAnsi="Times New Roman"/>
          <w:sz w:val="28"/>
          <w:szCs w:val="28"/>
        </w:rPr>
        <w:t>при принятии 160</w:t>
      </w:r>
      <w:r w:rsidRPr="00AD4C61">
        <w:rPr>
          <w:rFonts w:ascii="Times New Roman" w:hAnsi="Times New Roman"/>
          <w:sz w:val="28"/>
          <w:szCs w:val="28"/>
        </w:rPr>
        <w:t xml:space="preserve"> внутриведомственных нормативных правовых актов. Принято более 250 мер прокурорского реагирования в форме представлений, официальных предупреждений и протестов на незаконно принятые нормативные правовые акты. Свыше 100 виновных должностных лиц органов государственной власти и местного самоуправления привлечены к административной ответственности и возбуждено 8 уголовных дел по фактам незаконного использования бюджетных средств и иных должностных преступлений. </w:t>
      </w: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>Верховным Советом Республики Хакасия поддержано 30 предложений и законодательных инициатив Контрольно-счетной палаты по вопросам бюджетного процесса и программно-целевого планирования, исполнения полномочий Палаты и контрольно-счетных органов муниципальных образований Республики Хакасия, совершенствования правового положения работников органов муниципального финансового контроля и регионального административного законодательства.</w:t>
      </w: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>Одним из основополагающих принципов Палаты является гласность и открытость ее деятельности для общества. Результаты всех проведенных мероприятий систематически размещаются на официальном сайте Контрольно-счетной палаты Республики Хакасия и Портала Счетной Палаты Российской Федерации и контрольно-счетных органов Российской Федерации. Выводы Палаты по результатам контрольных и экспертно-аналитических мероприятий систематически комментируются в различных электронных средствах массовой информации Хакасии. Широкий общественный резонанс получили результаты проверок в системе лекарственного обеспечения населения и предоставления медицинских услуг, в системе предоставления жилищно-коммунальных услуг и обеспечения населения детскими дошкольными учреждениями, анализа состояния реализации национальных проектов в Республике Хакасия.</w:t>
      </w: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4C61">
        <w:rPr>
          <w:rFonts w:ascii="Times New Roman" w:hAnsi="Times New Roman"/>
          <w:sz w:val="28"/>
          <w:szCs w:val="28"/>
        </w:rPr>
        <w:t>Практический опыт Контрольно-счетной палаты Республики Хакасия рассмотрен в ходе организованных палатой 3 межрегиональных совещаний и научно-практических семинаров с участием руководителей и аудиторов Счетной палаты Российской Федерации и контрольно-счетных органов субъектов Российской Федерации, муниципальных образований, руководителей органов законодательной и исполнительной власти Республики Хакасия</w:t>
      </w:r>
      <w:r>
        <w:rPr>
          <w:rFonts w:ascii="Times New Roman" w:hAnsi="Times New Roman"/>
          <w:sz w:val="28"/>
          <w:szCs w:val="28"/>
        </w:rPr>
        <w:t xml:space="preserve"> и опубликован</w:t>
      </w:r>
      <w:r w:rsidRPr="00AD4C61">
        <w:rPr>
          <w:rFonts w:ascii="Times New Roman" w:hAnsi="Times New Roman"/>
          <w:sz w:val="28"/>
          <w:szCs w:val="28"/>
        </w:rPr>
        <w:t xml:space="preserve"> в 28 номерах общероссийского научно-практического журнала «Вестник АКСОР»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B06D5" w:rsidRDefault="00BB06D5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высокие результаты в профессиональной деятельности 6 работников Контрольно-счетной палаты Республики Хакасия награждены Государственными наградами Республики Хакасия, наградами Верховного Совета </w:t>
      </w:r>
      <w:r w:rsidR="00A670B9">
        <w:rPr>
          <w:rFonts w:ascii="Times New Roman" w:hAnsi="Times New Roman"/>
          <w:sz w:val="28"/>
          <w:szCs w:val="28"/>
        </w:rPr>
        <w:t xml:space="preserve">Республики Хакасия, Счетной палаты Российской Федерации и </w:t>
      </w:r>
      <w:proofErr w:type="gramStart"/>
      <w:r w:rsidR="00A670B9">
        <w:rPr>
          <w:rFonts w:ascii="Times New Roman" w:hAnsi="Times New Roman"/>
          <w:sz w:val="28"/>
          <w:szCs w:val="28"/>
        </w:rPr>
        <w:t>Союза</w:t>
      </w:r>
      <w:proofErr w:type="gramEnd"/>
      <w:r w:rsidR="00A670B9">
        <w:rPr>
          <w:rFonts w:ascii="Times New Roman" w:hAnsi="Times New Roman"/>
          <w:sz w:val="28"/>
          <w:szCs w:val="28"/>
        </w:rPr>
        <w:t xml:space="preserve"> муниципальных контрольно-счетных органов Российской Федерации.</w:t>
      </w:r>
    </w:p>
    <w:p w:rsidR="00263E93" w:rsidRPr="00AD4C61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 xml:space="preserve">При непосредственном участии Контрольно-счетной палаты Республики Хакасия создана система внешнего </w:t>
      </w:r>
      <w:r w:rsidR="00971E0F">
        <w:rPr>
          <w:rFonts w:ascii="Times New Roman" w:hAnsi="Times New Roman"/>
          <w:sz w:val="28"/>
          <w:szCs w:val="28"/>
        </w:rPr>
        <w:t>муниципального</w:t>
      </w:r>
      <w:r w:rsidRPr="00AD4C61">
        <w:rPr>
          <w:rFonts w:ascii="Times New Roman" w:hAnsi="Times New Roman"/>
          <w:sz w:val="28"/>
          <w:szCs w:val="28"/>
        </w:rPr>
        <w:t xml:space="preserve"> финансового контроля Республики Хакасия с образованием контрольно-счетных органов во всех городах и районах республики. Как</w:t>
      </w:r>
      <w:r>
        <w:rPr>
          <w:rFonts w:ascii="Times New Roman" w:hAnsi="Times New Roman"/>
          <w:sz w:val="28"/>
          <w:szCs w:val="28"/>
        </w:rPr>
        <w:t xml:space="preserve"> на первоначальном этапе создания</w:t>
      </w:r>
      <w:r w:rsidRPr="00AD4C61">
        <w:rPr>
          <w:rFonts w:ascii="Times New Roman" w:hAnsi="Times New Roman"/>
          <w:sz w:val="28"/>
          <w:szCs w:val="28"/>
        </w:rPr>
        <w:t>, так и в течение всего последующего периода Палатой оказывалась помощь в решении вопросов нормативной правовой, организационно-штатной и методической обеспеченности органов. В рамках созданного Совета контрольно-счетных органов проведено 28 учебно-методических семинаров, посвященных вопросам практической реализации установленных полномочий и проведения контроля в различных сферах использования бюджетных средств, построения конструктивного взаимодействия с органами муниципальной власти и право</w:t>
      </w:r>
      <w:r>
        <w:rPr>
          <w:rFonts w:ascii="Times New Roman" w:hAnsi="Times New Roman"/>
          <w:sz w:val="28"/>
          <w:szCs w:val="28"/>
        </w:rPr>
        <w:t>охранительными органами и другим вопросам деятельности контрольно-счетных органов</w:t>
      </w:r>
      <w:r w:rsidRPr="00AD4C61">
        <w:rPr>
          <w:rFonts w:ascii="Times New Roman" w:hAnsi="Times New Roman"/>
          <w:sz w:val="28"/>
          <w:szCs w:val="28"/>
        </w:rPr>
        <w:t>.</w: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D4C61">
        <w:rPr>
          <w:rFonts w:ascii="Times New Roman" w:hAnsi="Times New Roman"/>
          <w:sz w:val="28"/>
          <w:szCs w:val="28"/>
        </w:rPr>
        <w:t>Контрольно-счетной палатой проводится ежегодный анализ результатов работы органов муниципального финансового контроля с подготовкой предложений по повышению эффективности контрольной деятельности, что  в целом оказало положительное влияние на результативность их работы.</w:t>
      </w:r>
    </w:p>
    <w:p w:rsidR="00A670B9" w:rsidRPr="00AD4C61" w:rsidRDefault="00A670B9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15-летний период органами муниципального финансового контроля проведено более 3,5 тысяч контрольных и экспертно-аналитических мероприятий и свыше 2,5 тысяч экспертиз проектов муниципальных нормативных правовых актов. За этот период выявлено на </w:t>
      </w:r>
      <w:r w:rsidR="00971E0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,5 млрд. рублей разного рода нарушений, в том числе свыше 50 млн. рублей нецелевых бюджетных расходов. Устранены нарушения на сумму </w:t>
      </w:r>
      <w:r w:rsidR="00971E0F"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>2 млрд. рублей. Привлечено к административной и дисциплинарной ответственности 400 должностных лиц местного самоуправления. По материалам контрольно-счетных органов принято 700 мер прокурорского реагирования.</w:t>
      </w:r>
    </w:p>
    <w:p w:rsidR="00263E93" w:rsidRDefault="00263E93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4C61">
        <w:rPr>
          <w:rFonts w:ascii="Times New Roman" w:hAnsi="Times New Roman"/>
          <w:sz w:val="28"/>
          <w:szCs w:val="28"/>
        </w:rPr>
        <w:t>Результаты применения различных форм конструктивного взаимодействия и сотрудничества Контрольно-счетной палаты Республики Хакасия с органами законодательной и исполнительной власти,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C61">
        <w:rPr>
          <w:rFonts w:ascii="Times New Roman" w:hAnsi="Times New Roman"/>
          <w:sz w:val="28"/>
          <w:szCs w:val="28"/>
        </w:rPr>
        <w:t>Республики Хакасия</w:t>
      </w:r>
      <w:r w:rsidR="002579A7">
        <w:rPr>
          <w:rFonts w:ascii="Times New Roman" w:hAnsi="Times New Roman"/>
          <w:sz w:val="28"/>
          <w:szCs w:val="28"/>
        </w:rPr>
        <w:t>, Прокуратурой Республики Хакасия</w:t>
      </w:r>
      <w:r w:rsidRPr="00AD4C61">
        <w:rPr>
          <w:rFonts w:ascii="Times New Roman" w:hAnsi="Times New Roman"/>
          <w:sz w:val="28"/>
          <w:szCs w:val="28"/>
        </w:rPr>
        <w:t xml:space="preserve"> и Счетной палат</w:t>
      </w:r>
      <w:r w:rsidR="002579A7">
        <w:rPr>
          <w:rFonts w:ascii="Times New Roman" w:hAnsi="Times New Roman"/>
          <w:sz w:val="28"/>
          <w:szCs w:val="28"/>
        </w:rPr>
        <w:t>ой</w:t>
      </w:r>
      <w:r w:rsidRPr="00AD4C61">
        <w:rPr>
          <w:rFonts w:ascii="Times New Roman" w:hAnsi="Times New Roman"/>
          <w:sz w:val="28"/>
          <w:szCs w:val="28"/>
        </w:rPr>
        <w:t xml:space="preserve"> Российской Федерации при организации и осуществлении внешнего государственного финансового контроля способствовали укреплению финансовой дисциплины и повышению ответственности у </w:t>
      </w:r>
      <w:r w:rsidRPr="00AD4C61">
        <w:rPr>
          <w:rFonts w:ascii="Times New Roman" w:hAnsi="Times New Roman"/>
          <w:sz w:val="28"/>
          <w:szCs w:val="28"/>
        </w:rPr>
        <w:lastRenderedPageBreak/>
        <w:t>распорядителей бюджетных средств за целевое и результативное использование бюджетных и материальных ресурсов, о чем</w:t>
      </w:r>
      <w:proofErr w:type="gramEnd"/>
      <w:r w:rsidRPr="00AD4C61">
        <w:rPr>
          <w:rFonts w:ascii="Times New Roman" w:hAnsi="Times New Roman"/>
          <w:sz w:val="28"/>
          <w:szCs w:val="28"/>
        </w:rPr>
        <w:t xml:space="preserve"> свидетельствует состояние их реагирования на выводы и предложения Контрольно-счетной палаты Республики Хакасия.</w:t>
      </w:r>
    </w:p>
    <w:p w:rsidR="00765E32" w:rsidRDefault="00765E32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перед Контрольно-счетной палатой поставлены задачи по внедрению стратегического аудита, направленного на формирование у органов власти перспективной картины социально-эк</w:t>
      </w:r>
      <w:r w:rsidR="00945620">
        <w:rPr>
          <w:rFonts w:ascii="Times New Roman" w:hAnsi="Times New Roman"/>
          <w:sz w:val="28"/>
          <w:szCs w:val="28"/>
        </w:rPr>
        <w:t>ономического состояния в конкрет</w:t>
      </w:r>
      <w:r>
        <w:rPr>
          <w:rFonts w:ascii="Times New Roman" w:hAnsi="Times New Roman"/>
          <w:sz w:val="28"/>
          <w:szCs w:val="28"/>
        </w:rPr>
        <w:t>ной сфере</w:t>
      </w:r>
      <w:r w:rsidR="00A46907">
        <w:rPr>
          <w:rFonts w:ascii="Times New Roman" w:hAnsi="Times New Roman"/>
          <w:sz w:val="28"/>
          <w:szCs w:val="28"/>
        </w:rPr>
        <w:t xml:space="preserve"> и понимание рисков </w:t>
      </w:r>
      <w:proofErr w:type="spellStart"/>
      <w:r w:rsidR="00A46907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A46907">
        <w:rPr>
          <w:rFonts w:ascii="Times New Roman" w:hAnsi="Times New Roman"/>
          <w:sz w:val="28"/>
          <w:szCs w:val="28"/>
        </w:rPr>
        <w:t xml:space="preserve"> поставленных целей и задач, закрепленных в региональных документах стратегического развития (в первую очередь в региональных проектах, государственных программах Республики Хакасия). Выводы Палаты по результатам проведенных мероприятий должны содержать не только объемы выявленных финансовых нарушений, но и оценку факторов и рисков, оказывающих негативное влияние на эффективное решение задач, поставленных в различных </w:t>
      </w:r>
      <w:r w:rsidR="00C47646">
        <w:rPr>
          <w:rFonts w:ascii="Times New Roman" w:hAnsi="Times New Roman"/>
          <w:sz w:val="28"/>
          <w:szCs w:val="28"/>
        </w:rPr>
        <w:t>направлениях использования бюджетных и материальных ресурсов.</w:t>
      </w:r>
    </w:p>
    <w:p w:rsidR="00C47646" w:rsidRDefault="00C47646" w:rsidP="00263E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в этих направлениях Палатой планируется взаимодействие со всеми заинтересованными органами государственной власти Республики Хакасия.</w:t>
      </w:r>
    </w:p>
    <w:p w:rsidR="00DA358E" w:rsidRDefault="00DA358E"/>
    <w:sectPr w:rsidR="00DA358E" w:rsidSect="00263E9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06" w:rsidRDefault="00C17A06" w:rsidP="00263E93">
      <w:pPr>
        <w:spacing w:after="0" w:line="240" w:lineRule="auto"/>
      </w:pPr>
      <w:r>
        <w:separator/>
      </w:r>
    </w:p>
  </w:endnote>
  <w:endnote w:type="continuationSeparator" w:id="0">
    <w:p w:rsidR="00C17A06" w:rsidRDefault="00C17A06" w:rsidP="0026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06" w:rsidRDefault="00C17A06" w:rsidP="00263E93">
      <w:pPr>
        <w:spacing w:after="0" w:line="240" w:lineRule="auto"/>
      </w:pPr>
      <w:r>
        <w:separator/>
      </w:r>
    </w:p>
  </w:footnote>
  <w:footnote w:type="continuationSeparator" w:id="0">
    <w:p w:rsidR="00C17A06" w:rsidRDefault="00C17A06" w:rsidP="0026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49282"/>
      <w:docPartObj>
        <w:docPartGallery w:val="Page Numbers (Top of Page)"/>
        <w:docPartUnique/>
      </w:docPartObj>
    </w:sdtPr>
    <w:sdtContent>
      <w:p w:rsidR="002579A7" w:rsidRDefault="008E602C">
        <w:pPr>
          <w:pStyle w:val="a5"/>
          <w:jc w:val="center"/>
        </w:pPr>
        <w:r w:rsidRPr="00263E93">
          <w:rPr>
            <w:rFonts w:ascii="Times New Roman" w:hAnsi="Times New Roman"/>
          </w:rPr>
          <w:fldChar w:fldCharType="begin"/>
        </w:r>
        <w:r w:rsidR="002579A7" w:rsidRPr="00263E93">
          <w:rPr>
            <w:rFonts w:ascii="Times New Roman" w:hAnsi="Times New Roman"/>
          </w:rPr>
          <w:instrText xml:space="preserve"> PAGE   \* MERGEFORMAT </w:instrText>
        </w:r>
        <w:r w:rsidRPr="00263E93">
          <w:rPr>
            <w:rFonts w:ascii="Times New Roman" w:hAnsi="Times New Roman"/>
          </w:rPr>
          <w:fldChar w:fldCharType="separate"/>
        </w:r>
        <w:r w:rsidR="002209FF">
          <w:rPr>
            <w:rFonts w:ascii="Times New Roman" w:hAnsi="Times New Roman"/>
            <w:noProof/>
          </w:rPr>
          <w:t>4</w:t>
        </w:r>
        <w:r w:rsidRPr="00263E93">
          <w:rPr>
            <w:rFonts w:ascii="Times New Roman" w:hAnsi="Times New Roman"/>
          </w:rPr>
          <w:fldChar w:fldCharType="end"/>
        </w:r>
      </w:p>
    </w:sdtContent>
  </w:sdt>
  <w:p w:rsidR="002579A7" w:rsidRDefault="002579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E93"/>
    <w:rsid w:val="001B52C3"/>
    <w:rsid w:val="002209FF"/>
    <w:rsid w:val="002579A7"/>
    <w:rsid w:val="00263E93"/>
    <w:rsid w:val="00351068"/>
    <w:rsid w:val="00351967"/>
    <w:rsid w:val="00442F8D"/>
    <w:rsid w:val="005770D4"/>
    <w:rsid w:val="0062272B"/>
    <w:rsid w:val="006316A3"/>
    <w:rsid w:val="00651143"/>
    <w:rsid w:val="00680573"/>
    <w:rsid w:val="00765E32"/>
    <w:rsid w:val="007E5685"/>
    <w:rsid w:val="00804B30"/>
    <w:rsid w:val="008E602C"/>
    <w:rsid w:val="00913761"/>
    <w:rsid w:val="00941C79"/>
    <w:rsid w:val="00945620"/>
    <w:rsid w:val="00971E0F"/>
    <w:rsid w:val="00A46907"/>
    <w:rsid w:val="00A670B9"/>
    <w:rsid w:val="00A93E97"/>
    <w:rsid w:val="00BB06D5"/>
    <w:rsid w:val="00BE11F4"/>
    <w:rsid w:val="00C15C70"/>
    <w:rsid w:val="00C17A06"/>
    <w:rsid w:val="00C47646"/>
    <w:rsid w:val="00C87D52"/>
    <w:rsid w:val="00DA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9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3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E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6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E9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E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6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3E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/>
              <a:t>293</a:t>
            </a:r>
          </a:p>
        </c:rich>
      </c:tx>
      <c:layout>
        <c:manualLayout>
          <c:xMode val="edge"/>
          <c:yMode val="edge"/>
          <c:x val="0.29858796296296558"/>
          <c:y val="0.41269841269841268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293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Поручения Верховного Совета Республики Хакасия и Главы Республики Хакасия - Председателя Правительства Республики Хакасия (126)</c:v>
                </c:pt>
                <c:pt idx="1">
                  <c:v>Предложения Прокуратуры Республики Хакасия (26)</c:v>
                </c:pt>
                <c:pt idx="2">
                  <c:v>Предложения Счетной палаты Российской Федерации (8)</c:v>
                </c:pt>
                <c:pt idx="3">
                  <c:v>Инициатива Контрольно-счетной палаты Республики Хакасия (133)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126</c:v>
                </c:pt>
                <c:pt idx="1">
                  <c:v>26</c:v>
                </c:pt>
                <c:pt idx="2">
                  <c:v>8</c:v>
                </c:pt>
                <c:pt idx="3">
                  <c:v>133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300"/>
            </a:pPr>
            <a:r>
              <a:rPr lang="ru-RU" sz="1300"/>
              <a:t>8475,9</a:t>
            </a:r>
          </a:p>
        </c:rich>
      </c:tx>
      <c:layout>
        <c:manualLayout>
          <c:xMode val="edge"/>
          <c:yMode val="edge"/>
          <c:x val="0.30324074074074081"/>
          <c:y val="0.42857142857142855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340,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4584973753280903E-2"/>
                  <c:y val="-2.02430946131734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932,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9.6195137066200209E-3"/>
                  <c:y val="1.10833020872391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202,3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Нецелевое использование бюджетных средств (340,7)</c:v>
                </c:pt>
                <c:pt idx="1">
                  <c:v>Неэффективное использование бюджетных среств (932,9)</c:v>
                </c:pt>
                <c:pt idx="2">
                  <c:v>Иное неправомерное использование бюджетных среств (7202,3)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340.5</c:v>
                </c:pt>
                <c:pt idx="1">
                  <c:v>932.5</c:v>
                </c:pt>
                <c:pt idx="2">
                  <c:v>7128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015966754155865"/>
          <c:y val="0.1787423447069128"/>
          <c:w val="0.30595144356955511"/>
          <c:h val="0.70799118860142485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7D5E-2D4C-40F4-BB39-BD2B00EE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Panarina_EF</cp:lastModifiedBy>
  <cp:revision>13</cp:revision>
  <cp:lastPrinted>2021-04-13T05:28:00Z</cp:lastPrinted>
  <dcterms:created xsi:type="dcterms:W3CDTF">2021-02-05T03:53:00Z</dcterms:created>
  <dcterms:modified xsi:type="dcterms:W3CDTF">2021-04-13T05:28:00Z</dcterms:modified>
</cp:coreProperties>
</file>