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E645" w14:textId="77777777" w:rsidR="002A1893" w:rsidRPr="00E56ED0" w:rsidRDefault="002A1893" w:rsidP="002A1893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56ED0">
        <w:rPr>
          <w:rFonts w:eastAsia="Times New Roman"/>
          <w:b/>
          <w:sz w:val="26"/>
          <w:szCs w:val="26"/>
          <w:lang w:eastAsia="ru-RU"/>
        </w:rPr>
        <w:t>Информация</w:t>
      </w:r>
    </w:p>
    <w:p w14:paraId="2150EC50" w14:textId="080A7AE7" w:rsidR="002A1893" w:rsidRPr="00E56ED0" w:rsidRDefault="002A1893" w:rsidP="002A1893">
      <w:pPr>
        <w:spacing w:line="240" w:lineRule="auto"/>
        <w:jc w:val="center"/>
        <w:rPr>
          <w:b/>
          <w:sz w:val="26"/>
          <w:szCs w:val="26"/>
        </w:rPr>
      </w:pPr>
      <w:r w:rsidRPr="00E56ED0">
        <w:rPr>
          <w:b/>
          <w:sz w:val="26"/>
          <w:szCs w:val="26"/>
        </w:rPr>
        <w:t xml:space="preserve">об основных итогах экспертно-аналитического мероприятия </w:t>
      </w:r>
    </w:p>
    <w:p w14:paraId="1519A3EC" w14:textId="49822315" w:rsidR="002A1893" w:rsidRPr="00E56ED0" w:rsidRDefault="002A1893" w:rsidP="005F32E3">
      <w:pPr>
        <w:shd w:val="clear" w:color="auto" w:fill="FFFFFF" w:themeFill="background1"/>
        <w:spacing w:line="240" w:lineRule="auto"/>
        <w:jc w:val="center"/>
        <w:rPr>
          <w:b/>
          <w:sz w:val="26"/>
          <w:szCs w:val="26"/>
        </w:rPr>
      </w:pPr>
      <w:r w:rsidRPr="00E56ED0">
        <w:rPr>
          <w:b/>
          <w:sz w:val="26"/>
          <w:szCs w:val="26"/>
        </w:rPr>
        <w:t>«</w:t>
      </w:r>
      <w:r w:rsidR="005F32E3" w:rsidRPr="00E56ED0">
        <w:rPr>
          <w:b/>
          <w:sz w:val="26"/>
          <w:szCs w:val="26"/>
        </w:rPr>
        <w:t>Анализ полноты и эффективности реализации предложений и рекомендаций по результатам контрольных и экспертно-аналитических мероприятий, проведенных в 2020 год</w:t>
      </w:r>
      <w:r w:rsidRPr="00E56ED0">
        <w:rPr>
          <w:b/>
          <w:sz w:val="26"/>
          <w:szCs w:val="26"/>
        </w:rPr>
        <w:t>»</w:t>
      </w:r>
    </w:p>
    <w:p w14:paraId="39DF4D69" w14:textId="77777777" w:rsidR="002A1893" w:rsidRPr="00E56ED0" w:rsidRDefault="002A1893" w:rsidP="002A1893">
      <w:pPr>
        <w:spacing w:line="240" w:lineRule="auto"/>
        <w:jc w:val="center"/>
        <w:rPr>
          <w:b/>
          <w:sz w:val="26"/>
          <w:szCs w:val="26"/>
        </w:rPr>
      </w:pPr>
    </w:p>
    <w:p w14:paraId="6E033512" w14:textId="5A923631" w:rsidR="005F32E3" w:rsidRPr="00E56ED0" w:rsidRDefault="005F32E3" w:rsidP="005F32E3">
      <w:pPr>
        <w:pStyle w:val="a3"/>
        <w:ind w:firstLine="708"/>
        <w:jc w:val="both"/>
        <w:rPr>
          <w:sz w:val="26"/>
          <w:szCs w:val="26"/>
        </w:rPr>
      </w:pPr>
      <w:r w:rsidRPr="00E56ED0">
        <w:rPr>
          <w:sz w:val="26"/>
          <w:szCs w:val="26"/>
        </w:rPr>
        <w:t xml:space="preserve">Экспертно-аналитическое мероприятие проведено </w:t>
      </w:r>
      <w:r w:rsidRPr="00E56ED0">
        <w:rPr>
          <w:bCs/>
          <w:sz w:val="26"/>
          <w:szCs w:val="26"/>
        </w:rPr>
        <w:t xml:space="preserve">в соответствии с </w:t>
      </w:r>
      <w:r w:rsidRPr="00E56ED0">
        <w:rPr>
          <w:sz w:val="26"/>
          <w:szCs w:val="26"/>
        </w:rPr>
        <w:t>пунктом 2.1 плана работы Контрольно-счетной палаты Республики Хакасия (далее по тексту также – Контрольно-счетная палата) на 2021 год, утвержденного председателем Контрольно-счетной палаты Республики Хакасия 24.12.2020.</w:t>
      </w:r>
    </w:p>
    <w:p w14:paraId="1FC9CB2B" w14:textId="77777777" w:rsidR="005F32E3" w:rsidRPr="00E56ED0" w:rsidRDefault="005F32E3" w:rsidP="005F32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ED0">
        <w:rPr>
          <w:rFonts w:ascii="Times New Roman" w:hAnsi="Times New Roman" w:cs="Times New Roman"/>
          <w:sz w:val="26"/>
          <w:szCs w:val="26"/>
        </w:rPr>
        <w:t xml:space="preserve">Цели экспертно-аналитического мероприятия: </w:t>
      </w:r>
    </w:p>
    <w:p w14:paraId="060947C9" w14:textId="43B404F1" w:rsidR="005F32E3" w:rsidRPr="00E56ED0" w:rsidRDefault="005F32E3" w:rsidP="005F32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ED0">
        <w:rPr>
          <w:rFonts w:ascii="Times New Roman" w:hAnsi="Times New Roman" w:cs="Times New Roman"/>
          <w:sz w:val="26"/>
          <w:szCs w:val="26"/>
        </w:rPr>
        <w:t xml:space="preserve">оценить итоги рассмотрения отчетов (заключений), актов и других документов Контрольно-счетной палаты органами государственной власти Республики Хакасия, органами местного самоуправления в Республике Хакасия, объектами контроля по результатам проведенных мероприятий; </w:t>
      </w:r>
    </w:p>
    <w:p w14:paraId="676DC1B3" w14:textId="4C696241" w:rsidR="005F32E3" w:rsidRPr="00E56ED0" w:rsidRDefault="005F32E3" w:rsidP="005F32E3">
      <w:pPr>
        <w:shd w:val="clear" w:color="auto" w:fill="FFFFFF" w:themeFill="background1"/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 xml:space="preserve">проконтролировать реализацию представлений (предписаний) и уведомлений Контрольно-счетной палаты; </w:t>
      </w:r>
    </w:p>
    <w:p w14:paraId="1A97BAFE" w14:textId="37DD74EA" w:rsidR="005F32E3" w:rsidRPr="00E56ED0" w:rsidRDefault="005F32E3" w:rsidP="005F32E3">
      <w:pPr>
        <w:shd w:val="clear" w:color="auto" w:fill="FFFFFF" w:themeFill="background1"/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>проанализировать итоги рассмотрения протоколов об административных правонарушениях по результатам мероприятий Контрольно-счетной палаты.</w:t>
      </w:r>
    </w:p>
    <w:p w14:paraId="1952A951" w14:textId="1257F28C" w:rsidR="002A5EBD" w:rsidRPr="00E56ED0" w:rsidRDefault="00CD6A3F" w:rsidP="002122F9">
      <w:pPr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>По результатам экспертно-аналитического мероприятия установлено следующее:</w:t>
      </w:r>
    </w:p>
    <w:p w14:paraId="603EFB95" w14:textId="3622CD4E" w:rsidR="003412DE" w:rsidRPr="00E56ED0" w:rsidRDefault="003412DE" w:rsidP="002122F9">
      <w:p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 xml:space="preserve">1. Утвержденный на 2020 год </w:t>
      </w:r>
      <w:r w:rsidR="00E34952">
        <w:rPr>
          <w:sz w:val="26"/>
          <w:szCs w:val="26"/>
        </w:rPr>
        <w:t>п</w:t>
      </w:r>
      <w:r w:rsidRPr="00E56ED0">
        <w:rPr>
          <w:sz w:val="26"/>
          <w:szCs w:val="26"/>
        </w:rPr>
        <w:t xml:space="preserve">лан работы </w:t>
      </w:r>
      <w:r w:rsidR="005F32E3" w:rsidRPr="00E56ED0">
        <w:rPr>
          <w:sz w:val="26"/>
          <w:szCs w:val="26"/>
        </w:rPr>
        <w:t>Контрольно-счетной палаты</w:t>
      </w:r>
      <w:r w:rsidRPr="00E56ED0">
        <w:rPr>
          <w:sz w:val="26"/>
          <w:szCs w:val="26"/>
        </w:rPr>
        <w:t xml:space="preserve"> выполнен в полном объеме, проведено 24 мероприятия, из них в рамках исполнения установленных полномочий </w:t>
      </w:r>
      <w:r w:rsidR="00E34952" w:rsidRPr="00E34952">
        <w:rPr>
          <w:sz w:val="26"/>
          <w:szCs w:val="26"/>
        </w:rPr>
        <w:t>Контрольно-счетн</w:t>
      </w:r>
      <w:r w:rsidR="00E34952">
        <w:rPr>
          <w:sz w:val="26"/>
          <w:szCs w:val="26"/>
        </w:rPr>
        <w:t>ой</w:t>
      </w:r>
      <w:r w:rsidR="00E34952" w:rsidRPr="00E34952">
        <w:rPr>
          <w:sz w:val="26"/>
          <w:szCs w:val="26"/>
        </w:rPr>
        <w:t xml:space="preserve"> </w:t>
      </w:r>
      <w:r w:rsidR="00E34952">
        <w:rPr>
          <w:sz w:val="26"/>
          <w:szCs w:val="26"/>
        </w:rPr>
        <w:t>п</w:t>
      </w:r>
      <w:r w:rsidRPr="00E56ED0">
        <w:rPr>
          <w:sz w:val="26"/>
          <w:szCs w:val="26"/>
        </w:rPr>
        <w:t>алаты – 13 мероприятий, по поручениям Верховного Совета Республики Хакасия – 9 мероприятий и два мероприятия по предложению Счетной палаты Российской Федерации.</w:t>
      </w:r>
    </w:p>
    <w:p w14:paraId="6B467FF5" w14:textId="32E7A6F1" w:rsidR="003412DE" w:rsidRPr="00E56ED0" w:rsidRDefault="003412DE" w:rsidP="002122F9">
      <w:pPr>
        <w:autoSpaceDE w:val="0"/>
        <w:autoSpaceDN w:val="0"/>
        <w:adjustRightInd w:val="0"/>
        <w:spacing w:line="240" w:lineRule="auto"/>
        <w:rPr>
          <w:rFonts w:eastAsia="Times New Roman"/>
          <w:iCs/>
          <w:sz w:val="26"/>
          <w:szCs w:val="26"/>
        </w:rPr>
      </w:pPr>
      <w:r w:rsidRPr="00E56ED0">
        <w:rPr>
          <w:sz w:val="26"/>
          <w:szCs w:val="26"/>
        </w:rPr>
        <w:t xml:space="preserve">2. В отчетном периоде проведено 9 контрольных, 7 экспертно-аналитических мероприятий, </w:t>
      </w:r>
      <w:r w:rsidRPr="00E56ED0">
        <w:rPr>
          <w:iCs/>
          <w:sz w:val="26"/>
          <w:szCs w:val="26"/>
        </w:rPr>
        <w:t xml:space="preserve">3 мероприятия по </w:t>
      </w:r>
      <w:r w:rsidRPr="00E56ED0">
        <w:rPr>
          <w:rFonts w:eastAsia="Times New Roman"/>
          <w:bCs/>
          <w:iCs/>
          <w:sz w:val="26"/>
          <w:szCs w:val="26"/>
        </w:rPr>
        <w:t xml:space="preserve">экспертизе нормативных правовых актов и их проектов, </w:t>
      </w:r>
      <w:r w:rsidRPr="00E56ED0">
        <w:rPr>
          <w:iCs/>
          <w:sz w:val="26"/>
          <w:szCs w:val="26"/>
        </w:rPr>
        <w:t>3 мониторинга</w:t>
      </w:r>
      <w:r w:rsidRPr="00E56ED0">
        <w:rPr>
          <w:sz w:val="26"/>
          <w:szCs w:val="26"/>
        </w:rPr>
        <w:t xml:space="preserve"> (в том числе </w:t>
      </w:r>
      <w:r w:rsidRPr="00E56ED0">
        <w:rPr>
          <w:rFonts w:eastAsia="Times New Roman"/>
          <w:sz w:val="26"/>
          <w:szCs w:val="26"/>
        </w:rPr>
        <w:t xml:space="preserve">реализации в республике национальных проектов и исполнения республиканского бюджета </w:t>
      </w:r>
      <w:r w:rsidR="00E34952" w:rsidRPr="00E34952">
        <w:rPr>
          <w:rFonts w:eastAsia="Times New Roman"/>
          <w:sz w:val="26"/>
          <w:szCs w:val="26"/>
        </w:rPr>
        <w:t>Республики Хакасия</w:t>
      </w:r>
      <w:r w:rsidR="00E34952" w:rsidRPr="00E34952">
        <w:rPr>
          <w:rFonts w:eastAsia="Times New Roman"/>
          <w:sz w:val="26"/>
          <w:szCs w:val="26"/>
        </w:rPr>
        <w:t xml:space="preserve"> </w:t>
      </w:r>
      <w:r w:rsidRPr="00E56ED0">
        <w:rPr>
          <w:sz w:val="26"/>
          <w:szCs w:val="26"/>
        </w:rPr>
        <w:t xml:space="preserve">и бюджета ТФОМС </w:t>
      </w:r>
      <w:bookmarkStart w:id="0" w:name="_Hlk65747009"/>
      <w:r w:rsidRPr="00E56ED0">
        <w:rPr>
          <w:sz w:val="26"/>
          <w:szCs w:val="26"/>
        </w:rPr>
        <w:t>Республики Хакасия</w:t>
      </w:r>
      <w:bookmarkEnd w:id="0"/>
      <w:r w:rsidRPr="00E56ED0">
        <w:rPr>
          <w:rFonts w:eastAsia="Times New Roman"/>
          <w:sz w:val="26"/>
          <w:szCs w:val="26"/>
        </w:rPr>
        <w:t xml:space="preserve">), </w:t>
      </w:r>
      <w:r w:rsidRPr="00E56ED0">
        <w:rPr>
          <w:rFonts w:eastAsia="Times New Roman"/>
          <w:bCs/>
          <w:iCs/>
          <w:sz w:val="26"/>
          <w:szCs w:val="26"/>
        </w:rPr>
        <w:t xml:space="preserve">а также </w:t>
      </w:r>
      <w:r w:rsidRPr="00E56ED0">
        <w:rPr>
          <w:rFonts w:eastAsia="Times New Roman"/>
          <w:iCs/>
          <w:sz w:val="26"/>
          <w:szCs w:val="26"/>
        </w:rPr>
        <w:t xml:space="preserve">2 мероприятия по проведению </w:t>
      </w:r>
      <w:r w:rsidRPr="00E56ED0">
        <w:rPr>
          <w:iCs/>
          <w:sz w:val="26"/>
          <w:szCs w:val="26"/>
        </w:rPr>
        <w:t xml:space="preserve">внешней проверки отчетов об исполнении республиканского бюджета </w:t>
      </w:r>
      <w:r w:rsidR="00E34952" w:rsidRPr="00E34952">
        <w:rPr>
          <w:iCs/>
          <w:sz w:val="26"/>
          <w:szCs w:val="26"/>
        </w:rPr>
        <w:t>Республики Хакасия</w:t>
      </w:r>
      <w:r w:rsidR="00E34952" w:rsidRPr="00E34952">
        <w:rPr>
          <w:iCs/>
          <w:sz w:val="26"/>
          <w:szCs w:val="26"/>
        </w:rPr>
        <w:t xml:space="preserve"> </w:t>
      </w:r>
      <w:r w:rsidRPr="00E56ED0">
        <w:rPr>
          <w:iCs/>
          <w:sz w:val="26"/>
          <w:szCs w:val="26"/>
        </w:rPr>
        <w:t xml:space="preserve">и </w:t>
      </w:r>
      <w:r w:rsidRPr="00E56ED0">
        <w:rPr>
          <w:rFonts w:eastAsia="Times New Roman"/>
          <w:iCs/>
          <w:sz w:val="26"/>
          <w:szCs w:val="26"/>
        </w:rPr>
        <w:t xml:space="preserve">бюджета ТФОМС </w:t>
      </w:r>
      <w:r w:rsidRPr="00E56ED0">
        <w:rPr>
          <w:rFonts w:eastAsia="Times New Roman"/>
          <w:sz w:val="26"/>
          <w:szCs w:val="26"/>
        </w:rPr>
        <w:t>Республики Хакасия</w:t>
      </w:r>
      <w:r w:rsidRPr="00E56ED0">
        <w:rPr>
          <w:rFonts w:eastAsia="Times New Roman"/>
          <w:iCs/>
          <w:sz w:val="26"/>
          <w:szCs w:val="26"/>
        </w:rPr>
        <w:t xml:space="preserve">, по </w:t>
      </w:r>
      <w:r w:rsidRPr="00E56ED0">
        <w:rPr>
          <w:sz w:val="26"/>
          <w:szCs w:val="26"/>
        </w:rPr>
        <w:t>результатам которых составлено 25 актов, 24 информации, и по 14 отчетов и заключений.</w:t>
      </w:r>
    </w:p>
    <w:p w14:paraId="0AA7CB60" w14:textId="1DC9AA0A" w:rsidR="003412DE" w:rsidRPr="00E56ED0" w:rsidRDefault="003412DE" w:rsidP="002122F9">
      <w:pPr>
        <w:spacing w:line="240" w:lineRule="auto"/>
        <w:ind w:firstLine="708"/>
        <w:rPr>
          <w:rFonts w:eastAsia="Times New Roman"/>
          <w:sz w:val="26"/>
          <w:szCs w:val="26"/>
        </w:rPr>
      </w:pPr>
      <w:r w:rsidRPr="00E56ED0">
        <w:rPr>
          <w:rFonts w:eastAsia="Times New Roman"/>
          <w:sz w:val="26"/>
          <w:szCs w:val="26"/>
        </w:rPr>
        <w:t xml:space="preserve">Также, подготовлено 21 экспертное заключение по результатам финансово-экономических экспертиз </w:t>
      </w:r>
      <w:r w:rsidRPr="00E56ED0">
        <w:rPr>
          <w:sz w:val="26"/>
          <w:szCs w:val="26"/>
        </w:rPr>
        <w:t>законопроектов и иных нормативных правовых актов органов государственной власти Республики Хакасия</w:t>
      </w:r>
      <w:r w:rsidR="002528EF" w:rsidRPr="00E56ED0">
        <w:rPr>
          <w:sz w:val="26"/>
          <w:szCs w:val="26"/>
        </w:rPr>
        <w:t xml:space="preserve"> (в том числе на проект закона о Стратегии социально-экономического развития Республики Хакасия до 2030 года)</w:t>
      </w:r>
      <w:r w:rsidRPr="00E56ED0">
        <w:rPr>
          <w:sz w:val="26"/>
          <w:szCs w:val="26"/>
        </w:rPr>
        <w:t>,</w:t>
      </w:r>
      <w:r w:rsidRPr="00E56ED0">
        <w:rPr>
          <w:rFonts w:eastAsia="Times New Roman"/>
          <w:sz w:val="26"/>
          <w:szCs w:val="26"/>
        </w:rPr>
        <w:t xml:space="preserve"> 5 экспертных заключений на проекты законов о республиканском бюджете и бюджете ТФОМС </w:t>
      </w:r>
      <w:bookmarkStart w:id="1" w:name="_Hlk65570924"/>
      <w:r w:rsidRPr="00E56ED0">
        <w:rPr>
          <w:rFonts w:eastAsia="Times New Roman"/>
          <w:sz w:val="26"/>
          <w:szCs w:val="26"/>
        </w:rPr>
        <w:t>Республики Хакасия</w:t>
      </w:r>
      <w:bookmarkEnd w:id="1"/>
      <w:r w:rsidRPr="00E56ED0">
        <w:rPr>
          <w:sz w:val="26"/>
          <w:szCs w:val="26"/>
        </w:rPr>
        <w:t xml:space="preserve"> и 5 заключений по анализу текущего исполнения республиканского бюджета и бюджета ТФОМС Республики Хакасия в 2020 году.</w:t>
      </w:r>
    </w:p>
    <w:p w14:paraId="6231CE9B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3. В ходе проведенных мероприятий установлено 172 нарушения федеральных, республиканских и муниципальных правовых актов, а также недостатков в деятельности 110 объектов проверок на общую сумму </w:t>
      </w:r>
      <w:r w:rsidRPr="00E56ED0">
        <w:rPr>
          <w:rFonts w:eastAsia="Times New Roman"/>
          <w:sz w:val="26"/>
          <w:szCs w:val="26"/>
        </w:rPr>
        <w:t xml:space="preserve">436 270,3 </w:t>
      </w:r>
      <w:r w:rsidRPr="00E56ED0">
        <w:rPr>
          <w:sz w:val="26"/>
          <w:szCs w:val="26"/>
        </w:rPr>
        <w:t>тыс. рублей, в том числе:</w:t>
      </w:r>
    </w:p>
    <w:p w14:paraId="2BCFFB02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нецелевое использование бюджетных средств – </w:t>
      </w:r>
      <w:r w:rsidRPr="00E56ED0">
        <w:rPr>
          <w:rFonts w:eastAsia="Times New Roman"/>
          <w:sz w:val="26"/>
          <w:szCs w:val="26"/>
        </w:rPr>
        <w:t>6311,4</w:t>
      </w:r>
      <w:r w:rsidRPr="00E56ED0">
        <w:rPr>
          <w:sz w:val="26"/>
          <w:szCs w:val="26"/>
        </w:rPr>
        <w:t xml:space="preserve"> тыс. рублей (6 фактов);</w:t>
      </w:r>
    </w:p>
    <w:p w14:paraId="64DD4860" w14:textId="7E009ACF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неэффективное использование средств – </w:t>
      </w:r>
      <w:r w:rsidRPr="00E56ED0">
        <w:rPr>
          <w:rFonts w:eastAsia="Times New Roman"/>
          <w:sz w:val="26"/>
          <w:szCs w:val="26"/>
        </w:rPr>
        <w:t>114</w:t>
      </w:r>
      <w:r w:rsidR="005F32E3" w:rsidRPr="00E56ED0">
        <w:rPr>
          <w:rFonts w:eastAsia="Times New Roman"/>
          <w:sz w:val="26"/>
          <w:szCs w:val="26"/>
        </w:rPr>
        <w:t> </w:t>
      </w:r>
      <w:r w:rsidRPr="00E56ED0">
        <w:rPr>
          <w:rFonts w:eastAsia="Times New Roman"/>
          <w:sz w:val="26"/>
          <w:szCs w:val="26"/>
        </w:rPr>
        <w:t>142,4</w:t>
      </w:r>
      <w:r w:rsidRPr="00E56ED0">
        <w:rPr>
          <w:sz w:val="26"/>
          <w:szCs w:val="26"/>
        </w:rPr>
        <w:t xml:space="preserve"> тыс. рублей (14 фактов);</w:t>
      </w:r>
    </w:p>
    <w:p w14:paraId="182E841D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lastRenderedPageBreak/>
        <w:t xml:space="preserve">иные нарушения </w:t>
      </w:r>
      <w:bookmarkStart w:id="2" w:name="_Hlk65571310"/>
      <w:r w:rsidRPr="00E56ED0">
        <w:rPr>
          <w:sz w:val="26"/>
          <w:szCs w:val="26"/>
        </w:rPr>
        <w:t>–</w:t>
      </w:r>
      <w:bookmarkEnd w:id="2"/>
      <w:r w:rsidRPr="00E56ED0">
        <w:rPr>
          <w:sz w:val="26"/>
          <w:szCs w:val="26"/>
        </w:rPr>
        <w:t xml:space="preserve"> </w:t>
      </w:r>
      <w:r w:rsidRPr="00E56ED0">
        <w:rPr>
          <w:rFonts w:eastAsia="Times New Roman"/>
          <w:sz w:val="26"/>
          <w:szCs w:val="26"/>
        </w:rPr>
        <w:t xml:space="preserve">315 816,5 </w:t>
      </w:r>
      <w:r w:rsidRPr="00E56ED0">
        <w:rPr>
          <w:sz w:val="26"/>
          <w:szCs w:val="26"/>
        </w:rPr>
        <w:t xml:space="preserve">тыс. рублей (152 </w:t>
      </w:r>
      <w:bookmarkStart w:id="3" w:name="_Hlk65571650"/>
      <w:r w:rsidRPr="00E56ED0">
        <w:rPr>
          <w:sz w:val="26"/>
          <w:szCs w:val="26"/>
        </w:rPr>
        <w:t>нарушения</w:t>
      </w:r>
      <w:bookmarkEnd w:id="3"/>
      <w:r w:rsidRPr="00E56ED0">
        <w:rPr>
          <w:sz w:val="26"/>
          <w:szCs w:val="26"/>
        </w:rPr>
        <w:t xml:space="preserve">), </w:t>
      </w:r>
      <w:r w:rsidRPr="00E56ED0">
        <w:rPr>
          <w:i/>
          <w:iCs/>
          <w:sz w:val="26"/>
          <w:szCs w:val="26"/>
        </w:rPr>
        <w:t>из них:</w:t>
      </w:r>
    </w:p>
    <w:p w14:paraId="4B8EFBF7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при формировании и исполнении бюджетов – </w:t>
      </w:r>
      <w:r w:rsidRPr="00E56ED0">
        <w:rPr>
          <w:rFonts w:eastAsia="Times New Roman"/>
          <w:sz w:val="26"/>
          <w:szCs w:val="26"/>
        </w:rPr>
        <w:t xml:space="preserve">285 698,3 </w:t>
      </w:r>
      <w:r w:rsidRPr="00E56ED0">
        <w:rPr>
          <w:sz w:val="26"/>
          <w:szCs w:val="26"/>
        </w:rPr>
        <w:t xml:space="preserve">тыс. рублей (106 нарушений); </w:t>
      </w:r>
    </w:p>
    <w:p w14:paraId="47650BBF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при осуществлении государственных (муниципальных) закупок – </w:t>
      </w:r>
      <w:r w:rsidRPr="00E56ED0">
        <w:rPr>
          <w:rFonts w:eastAsia="Times New Roman"/>
          <w:sz w:val="26"/>
          <w:szCs w:val="26"/>
        </w:rPr>
        <w:t xml:space="preserve">24 662,8 </w:t>
      </w:r>
      <w:r w:rsidRPr="00E56ED0">
        <w:rPr>
          <w:sz w:val="26"/>
          <w:szCs w:val="26"/>
        </w:rPr>
        <w:t xml:space="preserve">тыс. рублей (27 нарушений); </w:t>
      </w:r>
    </w:p>
    <w:p w14:paraId="0A807023" w14:textId="77777777" w:rsidR="003412DE" w:rsidRPr="00E56ED0" w:rsidRDefault="003412DE" w:rsidP="002122F9">
      <w:pPr>
        <w:spacing w:line="240" w:lineRule="auto"/>
        <w:ind w:firstLine="708"/>
        <w:rPr>
          <w:sz w:val="26"/>
          <w:szCs w:val="26"/>
        </w:rPr>
      </w:pPr>
      <w:r w:rsidRPr="00E56ED0">
        <w:rPr>
          <w:sz w:val="26"/>
          <w:szCs w:val="26"/>
        </w:rPr>
        <w:t xml:space="preserve">в ходе ведения бухгалтерского учета, составления и представления бухгалтерской (финансовой) отчетности – </w:t>
      </w:r>
      <w:r w:rsidRPr="00E56ED0">
        <w:rPr>
          <w:rFonts w:eastAsia="Times New Roman"/>
          <w:sz w:val="26"/>
          <w:szCs w:val="26"/>
        </w:rPr>
        <w:t xml:space="preserve">5371,4 </w:t>
      </w:r>
      <w:r w:rsidRPr="00E56ED0">
        <w:rPr>
          <w:sz w:val="26"/>
          <w:szCs w:val="26"/>
        </w:rPr>
        <w:t>тыс. рублей (14 нарушений);</w:t>
      </w:r>
    </w:p>
    <w:p w14:paraId="3D071839" w14:textId="30962FD8" w:rsidR="003412DE" w:rsidRPr="00E56ED0" w:rsidRDefault="00A14E29" w:rsidP="002122F9">
      <w:pPr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>иные</w:t>
      </w:r>
      <w:r w:rsidR="003412DE" w:rsidRPr="00E56ED0">
        <w:rPr>
          <w:sz w:val="26"/>
          <w:szCs w:val="26"/>
        </w:rPr>
        <w:t xml:space="preserve"> нарушения – 84 тыс. рублей (</w:t>
      </w:r>
      <w:r w:rsidRPr="00E56ED0">
        <w:rPr>
          <w:sz w:val="26"/>
          <w:szCs w:val="26"/>
        </w:rPr>
        <w:t>5</w:t>
      </w:r>
      <w:r w:rsidR="003412DE" w:rsidRPr="00E56ED0">
        <w:rPr>
          <w:sz w:val="26"/>
          <w:szCs w:val="26"/>
        </w:rPr>
        <w:t xml:space="preserve"> нарушени</w:t>
      </w:r>
      <w:r w:rsidRPr="00E56ED0">
        <w:rPr>
          <w:sz w:val="26"/>
          <w:szCs w:val="26"/>
        </w:rPr>
        <w:t>й</w:t>
      </w:r>
      <w:r w:rsidR="003412DE" w:rsidRPr="00E56ED0">
        <w:rPr>
          <w:sz w:val="26"/>
          <w:szCs w:val="26"/>
        </w:rPr>
        <w:t>).</w:t>
      </w:r>
    </w:p>
    <w:p w14:paraId="03D67B1E" w14:textId="554F0E89" w:rsidR="00A14E29" w:rsidRPr="00E56ED0" w:rsidRDefault="00A14E29" w:rsidP="002122F9">
      <w:pPr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>4. Отчеты и заключения по результатам контрольных и экспертно-аналитических мероприятий содержат 188 предложений и рекомендаций Контрольно-счетной палат</w:t>
      </w:r>
      <w:r w:rsidR="00E34952">
        <w:rPr>
          <w:sz w:val="26"/>
          <w:szCs w:val="26"/>
        </w:rPr>
        <w:t>ы</w:t>
      </w:r>
      <w:r w:rsidRPr="00E56ED0">
        <w:rPr>
          <w:sz w:val="26"/>
          <w:szCs w:val="26"/>
        </w:rPr>
        <w:t>, из которых в полной мере реализовано 100 предложений (53,2%), в стадии реализации 54 предложения (28,7%) и не реализовано 34 предложения и рекомендации (18,1%).</w:t>
      </w:r>
    </w:p>
    <w:p w14:paraId="4FB00314" w14:textId="272E93F5" w:rsidR="00E34952" w:rsidRDefault="00A14E29" w:rsidP="002122F9">
      <w:pPr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>5</w:t>
      </w:r>
      <w:r w:rsidR="003412DE" w:rsidRPr="00E56ED0">
        <w:rPr>
          <w:sz w:val="26"/>
          <w:szCs w:val="26"/>
        </w:rPr>
        <w:t>. </w:t>
      </w:r>
      <w:bookmarkStart w:id="4" w:name="_Hlk65747244"/>
      <w:r w:rsidRPr="00E56ED0">
        <w:rPr>
          <w:sz w:val="26"/>
          <w:szCs w:val="26"/>
        </w:rPr>
        <w:t xml:space="preserve">Контрольно-счетной </w:t>
      </w:r>
      <w:bookmarkEnd w:id="4"/>
      <w:r w:rsidRPr="00E56ED0">
        <w:rPr>
          <w:sz w:val="26"/>
          <w:szCs w:val="26"/>
        </w:rPr>
        <w:t>палатой</w:t>
      </w:r>
      <w:r w:rsidR="003412DE" w:rsidRPr="00E56ED0">
        <w:rPr>
          <w:sz w:val="26"/>
          <w:szCs w:val="26"/>
        </w:rPr>
        <w:t xml:space="preserve"> внесены 17 представлений руководителям объектов проверок по результатам </w:t>
      </w:r>
      <w:r w:rsidR="00E34952">
        <w:rPr>
          <w:sz w:val="26"/>
          <w:szCs w:val="26"/>
        </w:rPr>
        <w:t>7</w:t>
      </w:r>
      <w:r w:rsidR="003412DE" w:rsidRPr="00E56ED0">
        <w:rPr>
          <w:sz w:val="26"/>
          <w:szCs w:val="26"/>
        </w:rPr>
        <w:t xml:space="preserve"> мероприяти</w:t>
      </w:r>
      <w:r w:rsidR="00E34952">
        <w:rPr>
          <w:sz w:val="26"/>
          <w:szCs w:val="26"/>
        </w:rPr>
        <w:t>й</w:t>
      </w:r>
      <w:r w:rsidR="003412DE" w:rsidRPr="00E56ED0">
        <w:rPr>
          <w:sz w:val="26"/>
          <w:szCs w:val="26"/>
        </w:rPr>
        <w:t>, содержащие 85 требований по устранению выявленных нарушений законодательства и недостатков в деятельности органов исполнительной власти и местного самоуправления, из которых на момент проверки выполнено 62 требования (72,9%), 8 требований находятся в стадии выполнения, 15 требовани</w:t>
      </w:r>
      <w:r w:rsidR="00E34952">
        <w:rPr>
          <w:sz w:val="26"/>
          <w:szCs w:val="26"/>
        </w:rPr>
        <w:t>й не реализовано.</w:t>
      </w:r>
    </w:p>
    <w:p w14:paraId="4ECEAC04" w14:textId="7ADBA36A" w:rsidR="001E79EA" w:rsidRPr="00E34952" w:rsidRDefault="001E79EA" w:rsidP="00A053C9">
      <w:pPr>
        <w:pStyle w:val="a3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E34952">
        <w:rPr>
          <w:sz w:val="26"/>
          <w:szCs w:val="26"/>
        </w:rPr>
        <w:t>Объектами проверок реализован комплекс мероприятий по устранению выявленных нарушений законодательства и недостатков в их деятельности, в том числе в части:</w:t>
      </w:r>
    </w:p>
    <w:p w14:paraId="304252FF" w14:textId="0C22CE5F" w:rsidR="00F06F41" w:rsidRPr="00E34952" w:rsidRDefault="0097553C" w:rsidP="00A053C9">
      <w:pPr>
        <w:spacing w:line="240" w:lineRule="auto"/>
        <w:rPr>
          <w:sz w:val="26"/>
          <w:szCs w:val="26"/>
        </w:rPr>
      </w:pPr>
      <w:r w:rsidRPr="00E34952">
        <w:rPr>
          <w:sz w:val="26"/>
          <w:szCs w:val="26"/>
        </w:rPr>
        <w:t>разработки План</w:t>
      </w:r>
      <w:r w:rsidR="00E34952" w:rsidRPr="00E34952">
        <w:rPr>
          <w:sz w:val="26"/>
          <w:szCs w:val="26"/>
        </w:rPr>
        <w:t>ов</w:t>
      </w:r>
      <w:r w:rsidRPr="00E34952">
        <w:rPr>
          <w:sz w:val="26"/>
          <w:szCs w:val="26"/>
        </w:rPr>
        <w:t xml:space="preserve"> мероприятий по устранению нарушений, указанных в представлениях Контрольно-счетной палаты;</w:t>
      </w:r>
    </w:p>
    <w:p w14:paraId="21B8FB95" w14:textId="041CA753" w:rsidR="00591305" w:rsidRPr="00E34952" w:rsidRDefault="00591305" w:rsidP="00A053C9">
      <w:pPr>
        <w:pStyle w:val="a3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E34952">
        <w:rPr>
          <w:sz w:val="26"/>
          <w:szCs w:val="26"/>
        </w:rPr>
        <w:t xml:space="preserve">возврата в доход республиканского бюджета </w:t>
      </w:r>
      <w:r w:rsidR="00E34952" w:rsidRPr="00E34952">
        <w:rPr>
          <w:sz w:val="26"/>
          <w:szCs w:val="26"/>
        </w:rPr>
        <w:t>Республики Хакасия</w:t>
      </w:r>
      <w:r w:rsidR="00E34952" w:rsidRPr="00E34952">
        <w:rPr>
          <w:sz w:val="26"/>
          <w:szCs w:val="26"/>
        </w:rPr>
        <w:t xml:space="preserve"> </w:t>
      </w:r>
      <w:r w:rsidRPr="00E34952">
        <w:rPr>
          <w:sz w:val="26"/>
          <w:szCs w:val="26"/>
        </w:rPr>
        <w:t>средств, использованных не по целевому назначению;</w:t>
      </w:r>
    </w:p>
    <w:p w14:paraId="72757D92" w14:textId="019A7F74" w:rsidR="00F46CF6" w:rsidRPr="00E34952" w:rsidRDefault="00F46CF6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sz w:val="26"/>
          <w:szCs w:val="26"/>
        </w:rPr>
      </w:pPr>
      <w:r w:rsidRPr="00E34952">
        <w:rPr>
          <w:sz w:val="26"/>
          <w:szCs w:val="26"/>
        </w:rPr>
        <w:t>разработки проект</w:t>
      </w:r>
      <w:r w:rsidR="00E34952" w:rsidRPr="00E34952">
        <w:rPr>
          <w:sz w:val="26"/>
          <w:szCs w:val="26"/>
        </w:rPr>
        <w:t>ов</w:t>
      </w:r>
      <w:r w:rsidRPr="00E34952">
        <w:rPr>
          <w:sz w:val="26"/>
          <w:szCs w:val="26"/>
        </w:rPr>
        <w:t xml:space="preserve"> изменений в законы Республики Хакасия</w:t>
      </w:r>
      <w:r w:rsidR="00E34952" w:rsidRPr="00E34952">
        <w:rPr>
          <w:sz w:val="26"/>
          <w:szCs w:val="26"/>
        </w:rPr>
        <w:t xml:space="preserve"> и нормативные правовые акты муниципальных образований Республики Хакасия</w:t>
      </w:r>
      <w:r w:rsidRPr="00E34952">
        <w:rPr>
          <w:sz w:val="26"/>
          <w:szCs w:val="26"/>
        </w:rPr>
        <w:t>;</w:t>
      </w:r>
    </w:p>
    <w:p w14:paraId="521CA37F" w14:textId="1B1931BF" w:rsidR="00A053C9" w:rsidRPr="00E34952" w:rsidRDefault="00591305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sz w:val="26"/>
          <w:szCs w:val="26"/>
        </w:rPr>
      </w:pPr>
      <w:r w:rsidRPr="00E34952">
        <w:rPr>
          <w:sz w:val="26"/>
          <w:szCs w:val="26"/>
        </w:rPr>
        <w:t xml:space="preserve">внесения соответствующих изменений в государственные и муниципальные программы, разработки </w:t>
      </w:r>
      <w:r w:rsidR="00E17754" w:rsidRPr="00E34952">
        <w:rPr>
          <w:sz w:val="26"/>
          <w:szCs w:val="26"/>
        </w:rPr>
        <w:t>внутриведомственных организационно-распорядительных документов;</w:t>
      </w:r>
    </w:p>
    <w:p w14:paraId="3DEB2061" w14:textId="77777777" w:rsidR="00A053C9" w:rsidRPr="00E34952" w:rsidRDefault="00F46CF6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rFonts w:eastAsia="Times New Roman"/>
          <w:sz w:val="26"/>
          <w:szCs w:val="26"/>
          <w:lang w:eastAsia="ru-RU"/>
        </w:rPr>
      </w:pPr>
      <w:r w:rsidRPr="00E34952">
        <w:rPr>
          <w:sz w:val="26"/>
          <w:szCs w:val="26"/>
        </w:rPr>
        <w:t>проведения претензионной работы с подрядными организациями</w:t>
      </w:r>
      <w:r w:rsidR="00A053C9" w:rsidRPr="00E34952">
        <w:rPr>
          <w:sz w:val="26"/>
          <w:szCs w:val="26"/>
        </w:rPr>
        <w:t xml:space="preserve"> в рамках осуществления </w:t>
      </w:r>
      <w:r w:rsidR="00A053C9" w:rsidRPr="00E34952">
        <w:rPr>
          <w:rFonts w:eastAsia="Times New Roman"/>
          <w:sz w:val="26"/>
          <w:szCs w:val="26"/>
          <w:lang w:eastAsia="ru-RU"/>
        </w:rPr>
        <w:t>закупок товаров, работ, услуг для обеспечения государственных и муниципальных нужд;</w:t>
      </w:r>
    </w:p>
    <w:p w14:paraId="13E4A75A" w14:textId="3E5E2CD8" w:rsidR="00A053C9" w:rsidRPr="00E34952" w:rsidRDefault="00591305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rFonts w:eastAsia="Times New Roman"/>
          <w:sz w:val="26"/>
          <w:szCs w:val="26"/>
          <w:lang w:eastAsia="ru-RU"/>
        </w:rPr>
      </w:pPr>
      <w:r w:rsidRPr="00E34952">
        <w:rPr>
          <w:sz w:val="26"/>
          <w:szCs w:val="26"/>
        </w:rPr>
        <w:t>обеспечения соблюдения требований Федерального закона от 06.12.2011                     № 402-ФЗ «О бухгалтерском учете»;</w:t>
      </w:r>
    </w:p>
    <w:p w14:paraId="77E93DC2" w14:textId="1B3355A9" w:rsidR="00A053C9" w:rsidRPr="00E34952" w:rsidRDefault="001E79EA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sz w:val="26"/>
          <w:szCs w:val="26"/>
        </w:rPr>
      </w:pPr>
      <w:r w:rsidRPr="00E34952">
        <w:rPr>
          <w:sz w:val="26"/>
          <w:szCs w:val="26"/>
        </w:rPr>
        <w:t>применен</w:t>
      </w:r>
      <w:r w:rsidR="00591305" w:rsidRPr="00E34952">
        <w:rPr>
          <w:sz w:val="26"/>
          <w:szCs w:val="26"/>
        </w:rPr>
        <w:t>ия</w:t>
      </w:r>
      <w:r w:rsidRPr="00E34952">
        <w:rPr>
          <w:sz w:val="26"/>
          <w:szCs w:val="26"/>
        </w:rPr>
        <w:t xml:space="preserve"> дисциплинарны</w:t>
      </w:r>
      <w:r w:rsidR="00591305" w:rsidRPr="00E34952">
        <w:rPr>
          <w:sz w:val="26"/>
          <w:szCs w:val="26"/>
        </w:rPr>
        <w:t>х</w:t>
      </w:r>
      <w:r w:rsidRPr="00E34952">
        <w:rPr>
          <w:sz w:val="26"/>
          <w:szCs w:val="26"/>
        </w:rPr>
        <w:t xml:space="preserve"> взыскани</w:t>
      </w:r>
      <w:r w:rsidR="00591305" w:rsidRPr="00E34952">
        <w:rPr>
          <w:sz w:val="26"/>
          <w:szCs w:val="26"/>
        </w:rPr>
        <w:t>й</w:t>
      </w:r>
      <w:r w:rsidRPr="00E34952">
        <w:rPr>
          <w:sz w:val="26"/>
          <w:szCs w:val="26"/>
        </w:rPr>
        <w:t xml:space="preserve"> к сотрудникам</w:t>
      </w:r>
      <w:r w:rsidR="00591305" w:rsidRPr="00E34952">
        <w:rPr>
          <w:sz w:val="26"/>
          <w:szCs w:val="26"/>
        </w:rPr>
        <w:t>, допустившим выявленные нарушения</w:t>
      </w:r>
      <w:r w:rsidR="00A053C9" w:rsidRPr="00E34952">
        <w:rPr>
          <w:sz w:val="26"/>
          <w:szCs w:val="26"/>
        </w:rPr>
        <w:t xml:space="preserve"> и иные мероприятия.</w:t>
      </w:r>
    </w:p>
    <w:p w14:paraId="3C8AE5F4" w14:textId="77777777" w:rsidR="00A053C9" w:rsidRDefault="003412DE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sz w:val="26"/>
          <w:szCs w:val="26"/>
        </w:rPr>
        <w:t>6. </w:t>
      </w:r>
      <w:r w:rsidR="005F32E3" w:rsidRPr="00E56ED0">
        <w:rPr>
          <w:sz w:val="26"/>
          <w:szCs w:val="26"/>
        </w:rPr>
        <w:t xml:space="preserve">Устранено финансовых нарушений, выявленных </w:t>
      </w:r>
      <w:r w:rsidR="00A14E29" w:rsidRPr="00E56ED0">
        <w:rPr>
          <w:sz w:val="26"/>
          <w:szCs w:val="26"/>
        </w:rPr>
        <w:t>Контрольно-счетной палатой</w:t>
      </w:r>
      <w:r w:rsidR="005F32E3" w:rsidRPr="00E56ED0">
        <w:rPr>
          <w:sz w:val="26"/>
          <w:szCs w:val="26"/>
        </w:rPr>
        <w:t>, на общую сумму 703,4 тыс. рублей, в том числе</w:t>
      </w:r>
      <w:r w:rsidR="005F32E3" w:rsidRPr="00E56ED0">
        <w:rPr>
          <w:rFonts w:eastAsia="Calibri"/>
          <w:sz w:val="26"/>
          <w:szCs w:val="26"/>
        </w:rPr>
        <w:t xml:space="preserve"> по проверкам: 2019 года </w:t>
      </w:r>
      <w:r w:rsidR="005F32E3" w:rsidRPr="00E56ED0">
        <w:rPr>
          <w:rFonts w:eastAsia="Times New Roman"/>
          <w:sz w:val="26"/>
          <w:szCs w:val="26"/>
        </w:rPr>
        <w:t xml:space="preserve">– </w:t>
      </w:r>
      <w:r w:rsidR="005F32E3" w:rsidRPr="00E56ED0">
        <w:rPr>
          <w:bCs/>
          <w:sz w:val="26"/>
          <w:szCs w:val="26"/>
        </w:rPr>
        <w:t>603,2 тыс. рублей (</w:t>
      </w:r>
      <w:r w:rsidR="005F32E3" w:rsidRPr="00E56ED0">
        <w:rPr>
          <w:sz w:val="26"/>
          <w:szCs w:val="26"/>
        </w:rPr>
        <w:t>АУ РХ «Информационный телевизионный центр «Хакасия</w:t>
      </w:r>
      <w:r w:rsidR="005F32E3" w:rsidRPr="00E56ED0">
        <w:rPr>
          <w:rFonts w:eastAsia="Calibri"/>
          <w:sz w:val="26"/>
          <w:szCs w:val="26"/>
        </w:rPr>
        <w:t>»</w:t>
      </w:r>
      <w:r w:rsidR="005F32E3" w:rsidRPr="00E56ED0">
        <w:rPr>
          <w:bCs/>
          <w:sz w:val="26"/>
          <w:szCs w:val="26"/>
        </w:rPr>
        <w:t xml:space="preserve">, 2020 года </w:t>
      </w:r>
      <w:r w:rsidR="005F32E3" w:rsidRPr="00E56ED0">
        <w:rPr>
          <w:rFonts w:eastAsia="Times New Roman"/>
          <w:sz w:val="26"/>
          <w:szCs w:val="26"/>
        </w:rPr>
        <w:t>– 100,2</w:t>
      </w:r>
      <w:r w:rsidR="005F32E3" w:rsidRPr="00E56ED0">
        <w:rPr>
          <w:bCs/>
          <w:sz w:val="26"/>
          <w:szCs w:val="26"/>
        </w:rPr>
        <w:t xml:space="preserve"> тыс. рублей (</w:t>
      </w:r>
      <w:r w:rsidR="005F32E3" w:rsidRPr="00E56ED0">
        <w:rPr>
          <w:sz w:val="26"/>
          <w:szCs w:val="26"/>
        </w:rPr>
        <w:t xml:space="preserve">ГБУЗ РХ «Белоярская районная больница» 94,2 тыс. рублей и </w:t>
      </w:r>
      <w:r w:rsidR="005F32E3" w:rsidRPr="00E56ED0">
        <w:rPr>
          <w:rFonts w:eastAsia="Times New Roman"/>
          <w:sz w:val="26"/>
          <w:szCs w:val="26"/>
        </w:rPr>
        <w:t>Управлением образования администрации Аскизского района 6 тыс. рублей).</w:t>
      </w:r>
    </w:p>
    <w:p w14:paraId="1362C166" w14:textId="77777777" w:rsidR="00A053C9" w:rsidRDefault="003412DE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sz w:val="26"/>
          <w:szCs w:val="26"/>
        </w:rPr>
      </w:pPr>
      <w:r w:rsidRPr="00E56ED0">
        <w:rPr>
          <w:sz w:val="26"/>
          <w:szCs w:val="26"/>
        </w:rPr>
        <w:t xml:space="preserve">7. Выводы и предложения </w:t>
      </w:r>
      <w:r w:rsidR="00A14E29" w:rsidRPr="00E56ED0">
        <w:rPr>
          <w:sz w:val="26"/>
          <w:szCs w:val="26"/>
        </w:rPr>
        <w:t>Контрольно-счетной палаты</w:t>
      </w:r>
      <w:r w:rsidRPr="00E56ED0">
        <w:rPr>
          <w:sz w:val="26"/>
          <w:szCs w:val="26"/>
        </w:rPr>
        <w:t xml:space="preserve"> учтены при подготовке 18 Законов Республики Хакасия, 2 постановлений Правительства Республики Хакасия, 9 муниципальных правовых актов, а также 29 внутриведомственных организационно-распорядительных документов органов исполнительной власти Республики Хакасия и подведомственных им учреждений.</w:t>
      </w:r>
    </w:p>
    <w:p w14:paraId="7652E4B7" w14:textId="58AFAAF7" w:rsidR="00A053C9" w:rsidRDefault="003412DE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sz w:val="26"/>
          <w:szCs w:val="26"/>
        </w:rPr>
        <w:lastRenderedPageBreak/>
        <w:t>8. </w:t>
      </w:r>
      <w:r w:rsidR="00A14E29" w:rsidRPr="00E56ED0">
        <w:rPr>
          <w:sz w:val="26"/>
          <w:szCs w:val="26"/>
        </w:rPr>
        <w:t xml:space="preserve">Меры </w:t>
      </w:r>
      <w:r w:rsidRPr="00E56ED0">
        <w:rPr>
          <w:sz w:val="26"/>
          <w:szCs w:val="26"/>
        </w:rPr>
        <w:t xml:space="preserve">прокурорского реагирования по материалам, направленным в Прокуратуру Республики Хакасия, не применялись в связи с достаточностью принятых Контрольно-счетной палатой </w:t>
      </w:r>
      <w:r w:rsidR="003605E6" w:rsidRPr="00E56ED0">
        <w:rPr>
          <w:sz w:val="26"/>
          <w:szCs w:val="26"/>
        </w:rPr>
        <w:t>мер</w:t>
      </w:r>
      <w:r w:rsidR="003605E6" w:rsidRPr="00E56ED0">
        <w:rPr>
          <w:sz w:val="26"/>
          <w:szCs w:val="26"/>
        </w:rPr>
        <w:t xml:space="preserve"> </w:t>
      </w:r>
      <w:r w:rsidRPr="00E56ED0">
        <w:rPr>
          <w:sz w:val="26"/>
          <w:szCs w:val="26"/>
        </w:rPr>
        <w:t>в рамках предоставленных полномочий.</w:t>
      </w:r>
    </w:p>
    <w:p w14:paraId="44FEE08B" w14:textId="77777777" w:rsidR="00A053C9" w:rsidRDefault="003412DE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sz w:val="26"/>
          <w:szCs w:val="26"/>
        </w:rPr>
        <w:t xml:space="preserve">9. По результатам 2 мероприятий 2020 года сотрудниками </w:t>
      </w:r>
      <w:r w:rsidR="00A14E29" w:rsidRPr="00E56ED0">
        <w:rPr>
          <w:sz w:val="26"/>
          <w:szCs w:val="26"/>
        </w:rPr>
        <w:t>Контрольно-счетной палаты</w:t>
      </w:r>
      <w:r w:rsidRPr="00E56ED0">
        <w:rPr>
          <w:sz w:val="26"/>
          <w:szCs w:val="26"/>
        </w:rPr>
        <w:t xml:space="preserve"> возбуждено 3 административных производства, которые в настоящее время </w:t>
      </w:r>
      <w:r w:rsidRPr="00E56ED0">
        <w:rPr>
          <w:rFonts w:eastAsia="Times New Roman"/>
          <w:sz w:val="26"/>
          <w:szCs w:val="26"/>
        </w:rPr>
        <w:t xml:space="preserve">находятся </w:t>
      </w:r>
      <w:r w:rsidRPr="00E56ED0">
        <w:rPr>
          <w:bCs/>
          <w:sz w:val="26"/>
          <w:szCs w:val="26"/>
        </w:rPr>
        <w:t>в стадии рассмотрения судов.</w:t>
      </w:r>
    </w:p>
    <w:p w14:paraId="6CDFE3AD" w14:textId="4F05FF3E" w:rsidR="00A053C9" w:rsidRDefault="003605E6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>10</w:t>
      </w:r>
      <w:r w:rsidR="00F06F41" w:rsidRPr="00E56ED0">
        <w:rPr>
          <w:sz w:val="26"/>
          <w:szCs w:val="26"/>
        </w:rPr>
        <w:t>. </w:t>
      </w:r>
      <w:r>
        <w:rPr>
          <w:sz w:val="26"/>
          <w:szCs w:val="26"/>
        </w:rPr>
        <w:t>П</w:t>
      </w:r>
      <w:r w:rsidR="003412DE" w:rsidRPr="00E56ED0">
        <w:rPr>
          <w:sz w:val="26"/>
          <w:szCs w:val="26"/>
        </w:rPr>
        <w:t xml:space="preserve">о 3 административным производствам, возбужденным сотрудниками </w:t>
      </w:r>
      <w:r w:rsidR="00A14E29" w:rsidRPr="00E56ED0">
        <w:rPr>
          <w:sz w:val="26"/>
          <w:szCs w:val="26"/>
        </w:rPr>
        <w:t>Контрольно-счетной палатой</w:t>
      </w:r>
      <w:r>
        <w:rPr>
          <w:sz w:val="26"/>
          <w:szCs w:val="26"/>
        </w:rPr>
        <w:t xml:space="preserve"> по мероприятиям 2019 года, </w:t>
      </w:r>
      <w:r w:rsidR="003412DE" w:rsidRPr="00E56ED0">
        <w:rPr>
          <w:sz w:val="26"/>
          <w:szCs w:val="26"/>
        </w:rPr>
        <w:t>в отношении  юридических лиц (</w:t>
      </w:r>
      <w:r w:rsidR="003412DE" w:rsidRPr="00E56ED0">
        <w:rPr>
          <w:rFonts w:eastAsia="Times New Roman"/>
          <w:sz w:val="26"/>
          <w:szCs w:val="26"/>
        </w:rPr>
        <w:t>ГКУ РХ «</w:t>
      </w:r>
      <w:r w:rsidR="003412DE" w:rsidRPr="00E56ED0">
        <w:rPr>
          <w:sz w:val="26"/>
          <w:szCs w:val="26"/>
        </w:rPr>
        <w:t>Управление автомобильных дорог Республики Хакасия</w:t>
      </w:r>
      <w:r w:rsidR="003412DE" w:rsidRPr="00E56ED0">
        <w:rPr>
          <w:rFonts w:eastAsia="Times New Roman"/>
          <w:sz w:val="26"/>
          <w:szCs w:val="26"/>
        </w:rPr>
        <w:t>», Управления промышленности, энергетики, связи, строительства и транспорта администрации Ширинского района и Финансового управления администрации Ширинского района</w:t>
      </w:r>
      <w:r w:rsidR="003412DE" w:rsidRPr="00E56ED0">
        <w:rPr>
          <w:sz w:val="26"/>
          <w:szCs w:val="26"/>
        </w:rPr>
        <w:t>) назначены наказания в виде штрафов в общей сумме 126,9 тыс. рублей (32,9 тыс. рублей, 48,5 тыс. рублей и 45,5 тыс. рублей соответственно).</w:t>
      </w:r>
    </w:p>
    <w:p w14:paraId="0792885B" w14:textId="13C5F80F" w:rsidR="00A053C9" w:rsidRDefault="003605E6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>11</w:t>
      </w:r>
      <w:r w:rsidR="00F06F41" w:rsidRPr="00E56ED0">
        <w:rPr>
          <w:sz w:val="26"/>
          <w:szCs w:val="26"/>
        </w:rPr>
        <w:t>. </w:t>
      </w:r>
      <w:r w:rsidR="003412DE" w:rsidRPr="00E56ED0">
        <w:rPr>
          <w:sz w:val="26"/>
          <w:szCs w:val="26"/>
        </w:rPr>
        <w:t>По 2 административным производствам за нарушения законодательства в сфере закупок уполномоченным органом - Министерством финансов Республики Хакасия</w:t>
      </w:r>
      <w:r w:rsidR="00E56ED0" w:rsidRPr="00E56ED0">
        <w:rPr>
          <w:sz w:val="26"/>
          <w:szCs w:val="26"/>
        </w:rPr>
        <w:t>,</w:t>
      </w:r>
      <w:r w:rsidR="003412DE" w:rsidRPr="00E56ED0">
        <w:rPr>
          <w:sz w:val="26"/>
          <w:szCs w:val="26"/>
        </w:rPr>
        <w:t xml:space="preserve"> вынесено 2 решения о наложении на виновных должностных лиц </w:t>
      </w:r>
      <w:r w:rsidR="003412DE" w:rsidRPr="00E56ED0">
        <w:rPr>
          <w:rFonts w:eastAsia="Times New Roman"/>
          <w:sz w:val="26"/>
          <w:szCs w:val="26"/>
        </w:rPr>
        <w:t xml:space="preserve">ГБУ РХ «Республиканский дом-интернат для умственно-отсталых детей «Теремок» </w:t>
      </w:r>
      <w:r w:rsidR="003412DE" w:rsidRPr="00E56ED0">
        <w:rPr>
          <w:sz w:val="26"/>
          <w:szCs w:val="26"/>
        </w:rPr>
        <w:t>штрафных санкций на общую сумму 50 тыс. рублей.</w:t>
      </w:r>
    </w:p>
    <w:p w14:paraId="26A40954" w14:textId="3AA0B7CB" w:rsidR="00A053C9" w:rsidRDefault="003605E6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>12</w:t>
      </w:r>
      <w:r w:rsidR="00F06F41" w:rsidRPr="00E56ED0">
        <w:rPr>
          <w:sz w:val="26"/>
          <w:szCs w:val="26"/>
        </w:rPr>
        <w:t>. </w:t>
      </w:r>
      <w:r w:rsidR="003412DE" w:rsidRPr="00E56ED0">
        <w:rPr>
          <w:sz w:val="26"/>
          <w:szCs w:val="26"/>
        </w:rPr>
        <w:t xml:space="preserve">На основании материалов Контрольно-счетной палаты Государственной инспекцией труда в Республике Хакасия возбуждено 2 административных производства, по </w:t>
      </w:r>
      <w:r>
        <w:rPr>
          <w:sz w:val="26"/>
          <w:szCs w:val="26"/>
        </w:rPr>
        <w:t>первому</w:t>
      </w:r>
      <w:r w:rsidR="003412DE" w:rsidRPr="00E56ED0">
        <w:rPr>
          <w:sz w:val="26"/>
          <w:szCs w:val="26"/>
        </w:rPr>
        <w:t xml:space="preserve"> из которых назначено наказание в виде штрафа на сумму 30 тыс. рублей, по </w:t>
      </w:r>
      <w:r>
        <w:rPr>
          <w:sz w:val="26"/>
          <w:szCs w:val="26"/>
        </w:rPr>
        <w:t>второму</w:t>
      </w:r>
      <w:r w:rsidR="003412DE" w:rsidRPr="00E56ED0">
        <w:rPr>
          <w:sz w:val="26"/>
          <w:szCs w:val="26"/>
        </w:rPr>
        <w:t xml:space="preserve"> – предупреждение за</w:t>
      </w:r>
      <w:r w:rsidR="003412DE" w:rsidRPr="00E56ED0">
        <w:rPr>
          <w:i/>
          <w:iCs/>
          <w:sz w:val="26"/>
          <w:szCs w:val="26"/>
        </w:rPr>
        <w:t xml:space="preserve"> </w:t>
      </w:r>
      <w:r w:rsidR="003412DE" w:rsidRPr="00E56ED0">
        <w:rPr>
          <w:sz w:val="26"/>
          <w:szCs w:val="26"/>
        </w:rPr>
        <w:t xml:space="preserve">нарушения в сфере трудовых отношений в </w:t>
      </w:r>
      <w:r w:rsidR="003412DE" w:rsidRPr="00E56ED0">
        <w:rPr>
          <w:rFonts w:eastAsia="Times New Roman"/>
          <w:sz w:val="26"/>
          <w:szCs w:val="26"/>
        </w:rPr>
        <w:t>ГБУЗ РХ «Черногорская межрайонная больница».</w:t>
      </w:r>
    </w:p>
    <w:p w14:paraId="785B4DC9" w14:textId="77777777" w:rsidR="00A053C9" w:rsidRDefault="00F06F41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bCs/>
          <w:sz w:val="26"/>
          <w:szCs w:val="26"/>
        </w:rPr>
        <w:t>По результатам</w:t>
      </w:r>
      <w:r w:rsidR="00CD6A3F" w:rsidRPr="00E56ED0">
        <w:rPr>
          <w:b/>
          <w:sz w:val="26"/>
          <w:szCs w:val="26"/>
        </w:rPr>
        <w:t xml:space="preserve"> </w:t>
      </w:r>
      <w:r w:rsidR="00CD6A3F" w:rsidRPr="00E56ED0">
        <w:rPr>
          <w:sz w:val="26"/>
          <w:szCs w:val="26"/>
        </w:rPr>
        <w:t xml:space="preserve">проверки полноты и эффективности реализации предложений и рекомендаций по результатам контрольных и экспертно-аналитических мероприятий, проведенных </w:t>
      </w:r>
      <w:r w:rsidRPr="00E56ED0">
        <w:rPr>
          <w:sz w:val="26"/>
          <w:szCs w:val="26"/>
        </w:rPr>
        <w:t>Контрольно-счетной палатой</w:t>
      </w:r>
      <w:r w:rsidR="00CD6A3F" w:rsidRPr="00E56ED0">
        <w:rPr>
          <w:sz w:val="26"/>
          <w:szCs w:val="26"/>
        </w:rPr>
        <w:t xml:space="preserve"> в 2020 году, предложено: </w:t>
      </w:r>
    </w:p>
    <w:p w14:paraId="148AA419" w14:textId="1ED9E6DD" w:rsidR="00A053C9" w:rsidRDefault="00CD6A3F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sz w:val="26"/>
          <w:szCs w:val="26"/>
        </w:rPr>
        <w:t>требования по устранению выявленных нарушений законодательства, не исполненные на момент формирования настоящего отчета, оставить на контроле</w:t>
      </w:r>
      <w:r w:rsidR="003605E6">
        <w:rPr>
          <w:sz w:val="26"/>
          <w:szCs w:val="26"/>
        </w:rPr>
        <w:t>;</w:t>
      </w:r>
    </w:p>
    <w:p w14:paraId="000135D2" w14:textId="287A762B" w:rsidR="00A053C9" w:rsidRDefault="00CD6A3F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  <w:r w:rsidRPr="00E56ED0">
        <w:rPr>
          <w:sz w:val="26"/>
          <w:szCs w:val="26"/>
        </w:rPr>
        <w:t xml:space="preserve">информацию об итогах реализации предложений и рекомендаций по результатам контрольных и экспертно-аналитических мероприятий использовать при подготовке годового отчета о деятельности Контрольно-счетной палаты </w:t>
      </w:r>
      <w:r w:rsidRPr="00E56ED0">
        <w:rPr>
          <w:rFonts w:eastAsia="Calibri"/>
          <w:sz w:val="26"/>
          <w:szCs w:val="26"/>
        </w:rPr>
        <w:t>за 2020 год.</w:t>
      </w:r>
      <w:r w:rsidRPr="00E56ED0">
        <w:rPr>
          <w:sz w:val="26"/>
          <w:szCs w:val="26"/>
        </w:rPr>
        <w:t xml:space="preserve"> </w:t>
      </w:r>
    </w:p>
    <w:p w14:paraId="542ED38F" w14:textId="75DFAD13" w:rsidR="00A14E29" w:rsidRDefault="00A14E29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rFonts w:eastAsiaTheme="minorEastAsia"/>
          <w:sz w:val="26"/>
          <w:szCs w:val="26"/>
          <w:lang w:eastAsia="ru-RU"/>
        </w:rPr>
      </w:pPr>
      <w:r w:rsidRPr="00E56ED0">
        <w:rPr>
          <w:rFonts w:eastAsiaTheme="minorEastAsia"/>
          <w:sz w:val="26"/>
          <w:szCs w:val="26"/>
          <w:lang w:eastAsia="ru-RU"/>
        </w:rPr>
        <w:t>Отчет о результатах экспертно-аналитического мероприятия рассмотрен на заседании коллегии Контрольно-счетной палаты Республики Хакасия 04.03.2021.</w:t>
      </w:r>
    </w:p>
    <w:p w14:paraId="20FFB5DA" w14:textId="77777777" w:rsidR="00A053C9" w:rsidRPr="00A053C9" w:rsidRDefault="00A053C9" w:rsidP="00A053C9">
      <w:pPr>
        <w:pBdr>
          <w:bottom w:val="none" w:sz="4" w:space="11" w:color="000000"/>
        </w:pBdr>
        <w:shd w:val="clear" w:color="auto" w:fill="FFFFFF" w:themeFill="background1"/>
        <w:spacing w:line="240" w:lineRule="auto"/>
        <w:rPr>
          <w:color w:val="FF0000"/>
          <w:sz w:val="26"/>
          <w:szCs w:val="26"/>
        </w:rPr>
      </w:pPr>
    </w:p>
    <w:p w14:paraId="2376EA5F" w14:textId="77777777" w:rsidR="00A14E29" w:rsidRPr="00E56ED0" w:rsidRDefault="00A14E29" w:rsidP="00A14E29">
      <w:pPr>
        <w:autoSpaceDE w:val="0"/>
        <w:autoSpaceDN w:val="0"/>
        <w:adjustRightInd w:val="0"/>
        <w:spacing w:line="240" w:lineRule="auto"/>
        <w:ind w:firstLine="708"/>
        <w:rPr>
          <w:sz w:val="26"/>
          <w:szCs w:val="26"/>
        </w:rPr>
      </w:pPr>
    </w:p>
    <w:p w14:paraId="240A0BB1" w14:textId="77777777" w:rsidR="00A14E29" w:rsidRPr="00E56ED0" w:rsidRDefault="00A14E29" w:rsidP="00A14E29">
      <w:pPr>
        <w:autoSpaceDE w:val="0"/>
        <w:autoSpaceDN w:val="0"/>
        <w:adjustRightInd w:val="0"/>
        <w:spacing w:line="240" w:lineRule="auto"/>
        <w:ind w:firstLine="708"/>
        <w:rPr>
          <w:sz w:val="26"/>
          <w:szCs w:val="26"/>
        </w:rPr>
      </w:pPr>
    </w:p>
    <w:p w14:paraId="306F3C39" w14:textId="77777777" w:rsidR="00A14E29" w:rsidRPr="00E56ED0" w:rsidRDefault="00A14E29" w:rsidP="00A14E29">
      <w:pPr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  <w:r w:rsidRPr="00E56ED0">
        <w:rPr>
          <w:sz w:val="26"/>
          <w:szCs w:val="26"/>
        </w:rPr>
        <w:t xml:space="preserve">Председатель Контрольно-счетной </w:t>
      </w:r>
    </w:p>
    <w:p w14:paraId="36663604" w14:textId="130A78C2" w:rsidR="00A14E29" w:rsidRPr="00E56ED0" w:rsidRDefault="00A14E29" w:rsidP="00A14E29">
      <w:pPr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  <w:r w:rsidRPr="00E56ED0">
        <w:rPr>
          <w:sz w:val="26"/>
          <w:szCs w:val="26"/>
        </w:rPr>
        <w:t>палаты Республики Хакасия</w:t>
      </w:r>
      <w:r w:rsidRPr="00E56ED0">
        <w:rPr>
          <w:sz w:val="26"/>
          <w:szCs w:val="26"/>
        </w:rPr>
        <w:tab/>
      </w:r>
      <w:r w:rsidRPr="00E56ED0">
        <w:rPr>
          <w:sz w:val="26"/>
          <w:szCs w:val="26"/>
        </w:rPr>
        <w:tab/>
      </w:r>
      <w:r w:rsidRPr="00E56ED0">
        <w:rPr>
          <w:sz w:val="26"/>
          <w:szCs w:val="26"/>
        </w:rPr>
        <w:tab/>
      </w:r>
      <w:r w:rsidRPr="00E56ED0">
        <w:rPr>
          <w:sz w:val="26"/>
          <w:szCs w:val="26"/>
        </w:rPr>
        <w:tab/>
      </w:r>
      <w:r w:rsidRPr="00E56ED0">
        <w:rPr>
          <w:sz w:val="26"/>
          <w:szCs w:val="26"/>
        </w:rPr>
        <w:tab/>
      </w:r>
      <w:r w:rsidRPr="00E56ED0">
        <w:rPr>
          <w:sz w:val="26"/>
          <w:szCs w:val="26"/>
        </w:rPr>
        <w:tab/>
        <w:t xml:space="preserve">                   О.А. Лях</w:t>
      </w:r>
    </w:p>
    <w:p w14:paraId="7A4A7FAF" w14:textId="77777777" w:rsidR="00CD6A3F" w:rsidRPr="00E56ED0" w:rsidRDefault="00CD6A3F" w:rsidP="002122F9">
      <w:pPr>
        <w:autoSpaceDE w:val="0"/>
        <w:autoSpaceDN w:val="0"/>
        <w:adjustRightInd w:val="0"/>
        <w:spacing w:line="240" w:lineRule="auto"/>
        <w:rPr>
          <w:szCs w:val="28"/>
        </w:rPr>
      </w:pPr>
    </w:p>
    <w:sectPr w:rsidR="00CD6A3F" w:rsidRPr="00E56ED0" w:rsidSect="00036D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BB3EF" w14:textId="77777777" w:rsidR="00D57241" w:rsidRDefault="00D57241" w:rsidP="00036D09">
      <w:pPr>
        <w:spacing w:line="240" w:lineRule="auto"/>
      </w:pPr>
      <w:r>
        <w:separator/>
      </w:r>
    </w:p>
  </w:endnote>
  <w:endnote w:type="continuationSeparator" w:id="0">
    <w:p w14:paraId="2F07299D" w14:textId="77777777" w:rsidR="00D57241" w:rsidRDefault="00D57241" w:rsidP="00036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0F521" w14:textId="77777777" w:rsidR="00D57241" w:rsidRDefault="00D57241" w:rsidP="00036D09">
      <w:pPr>
        <w:spacing w:line="240" w:lineRule="auto"/>
      </w:pPr>
      <w:r>
        <w:separator/>
      </w:r>
    </w:p>
  </w:footnote>
  <w:footnote w:type="continuationSeparator" w:id="0">
    <w:p w14:paraId="3CD26C69" w14:textId="77777777" w:rsidR="00D57241" w:rsidRDefault="00D57241" w:rsidP="00036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82860"/>
      <w:docPartObj>
        <w:docPartGallery w:val="Page Numbers (Top of Page)"/>
        <w:docPartUnique/>
      </w:docPartObj>
    </w:sdtPr>
    <w:sdtEndPr/>
    <w:sdtContent>
      <w:p w14:paraId="20C796F4" w14:textId="77777777" w:rsidR="00710A87" w:rsidRDefault="00E71D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C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F6D4A0" w14:textId="77777777" w:rsidR="00710A87" w:rsidRDefault="00710A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55"/>
    <w:rsid w:val="00036D09"/>
    <w:rsid w:val="00067A19"/>
    <w:rsid w:val="000C1ADF"/>
    <w:rsid w:val="000E755C"/>
    <w:rsid w:val="001409B8"/>
    <w:rsid w:val="001A1F64"/>
    <w:rsid w:val="001E79EA"/>
    <w:rsid w:val="001F40E0"/>
    <w:rsid w:val="002122F9"/>
    <w:rsid w:val="00234529"/>
    <w:rsid w:val="002528EF"/>
    <w:rsid w:val="00261A3B"/>
    <w:rsid w:val="002837C2"/>
    <w:rsid w:val="002A1893"/>
    <w:rsid w:val="002A5EBD"/>
    <w:rsid w:val="0031789A"/>
    <w:rsid w:val="003412DE"/>
    <w:rsid w:val="003605E6"/>
    <w:rsid w:val="00362855"/>
    <w:rsid w:val="00374B0A"/>
    <w:rsid w:val="003F5605"/>
    <w:rsid w:val="00424056"/>
    <w:rsid w:val="00453B41"/>
    <w:rsid w:val="004859D9"/>
    <w:rsid w:val="004B5436"/>
    <w:rsid w:val="004C328E"/>
    <w:rsid w:val="004D4FC6"/>
    <w:rsid w:val="00591305"/>
    <w:rsid w:val="005E6322"/>
    <w:rsid w:val="005F32E3"/>
    <w:rsid w:val="006A41AA"/>
    <w:rsid w:val="006B26A1"/>
    <w:rsid w:val="006D522B"/>
    <w:rsid w:val="006E3F28"/>
    <w:rsid w:val="00710A87"/>
    <w:rsid w:val="00724B82"/>
    <w:rsid w:val="00816302"/>
    <w:rsid w:val="00846832"/>
    <w:rsid w:val="008774A7"/>
    <w:rsid w:val="008E3FD7"/>
    <w:rsid w:val="0097553C"/>
    <w:rsid w:val="009936E7"/>
    <w:rsid w:val="009D5ACA"/>
    <w:rsid w:val="00A0423A"/>
    <w:rsid w:val="00A053C9"/>
    <w:rsid w:val="00A14E29"/>
    <w:rsid w:val="00A36EDC"/>
    <w:rsid w:val="00AC216F"/>
    <w:rsid w:val="00AF5B07"/>
    <w:rsid w:val="00B11BC9"/>
    <w:rsid w:val="00B24CAB"/>
    <w:rsid w:val="00BA7030"/>
    <w:rsid w:val="00C848DF"/>
    <w:rsid w:val="00CD34FA"/>
    <w:rsid w:val="00CD6A3F"/>
    <w:rsid w:val="00CE00E3"/>
    <w:rsid w:val="00CF7BE5"/>
    <w:rsid w:val="00D26278"/>
    <w:rsid w:val="00D432CC"/>
    <w:rsid w:val="00D57241"/>
    <w:rsid w:val="00D93CD0"/>
    <w:rsid w:val="00DB2A1E"/>
    <w:rsid w:val="00DC660D"/>
    <w:rsid w:val="00DD18FD"/>
    <w:rsid w:val="00DD4109"/>
    <w:rsid w:val="00E16339"/>
    <w:rsid w:val="00E17754"/>
    <w:rsid w:val="00E30032"/>
    <w:rsid w:val="00E34952"/>
    <w:rsid w:val="00E56ED0"/>
    <w:rsid w:val="00E61669"/>
    <w:rsid w:val="00E71D89"/>
    <w:rsid w:val="00E87853"/>
    <w:rsid w:val="00E87CBB"/>
    <w:rsid w:val="00EE6D42"/>
    <w:rsid w:val="00F06F41"/>
    <w:rsid w:val="00F26250"/>
    <w:rsid w:val="00F46CF6"/>
    <w:rsid w:val="00F526F7"/>
    <w:rsid w:val="00F717F4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A755"/>
  <w15:docId w15:val="{D3C29ACB-6EAD-4277-9801-2060CD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55"/>
    <w:pPr>
      <w:spacing w:line="276" w:lineRule="auto"/>
      <w:ind w:firstLine="709"/>
    </w:pPr>
    <w:rPr>
      <w:rFonts w:ascii="Times New Roman" w:hAnsi="Times New Roman" w:cs="Times New Roman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2A1E"/>
    <w:pPr>
      <w:spacing w:line="240" w:lineRule="auto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B2A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36D09"/>
    <w:pPr>
      <w:spacing w:after="200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036D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D09"/>
    <w:rPr>
      <w:rFonts w:ascii="Times New Roman" w:hAnsi="Times New Roman" w:cs="Times New Roman"/>
      <w:sz w:val="28"/>
      <w:szCs w:val="52"/>
    </w:rPr>
  </w:style>
  <w:style w:type="paragraph" w:styleId="a8">
    <w:name w:val="footer"/>
    <w:basedOn w:val="a"/>
    <w:link w:val="a9"/>
    <w:uiPriority w:val="99"/>
    <w:semiHidden/>
    <w:unhideWhenUsed/>
    <w:rsid w:val="00036D0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6D09"/>
    <w:rPr>
      <w:rFonts w:ascii="Times New Roman" w:hAnsi="Times New Roman" w:cs="Times New Roman"/>
      <w:sz w:val="28"/>
      <w:szCs w:val="52"/>
    </w:rPr>
  </w:style>
  <w:style w:type="paragraph" w:customStyle="1" w:styleId="ConsPlusNonformat">
    <w:name w:val="ConsPlusNonformat"/>
    <w:rsid w:val="005F32E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14E29"/>
    <w:pPr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A14E29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blk">
    <w:name w:val="blk"/>
    <w:basedOn w:val="a0"/>
    <w:rsid w:val="00A0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791EA-6F5E-4466-A4F8-513FD6E5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Казакова О.Б.</cp:lastModifiedBy>
  <cp:revision>14</cp:revision>
  <cp:lastPrinted>2021-03-03T02:56:00Z</cp:lastPrinted>
  <dcterms:created xsi:type="dcterms:W3CDTF">2021-03-03T03:50:00Z</dcterms:created>
  <dcterms:modified xsi:type="dcterms:W3CDTF">2021-03-04T03:58:00Z</dcterms:modified>
</cp:coreProperties>
</file>