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8E" w:rsidRPr="00BA4BE4" w:rsidRDefault="00B50086" w:rsidP="00A4661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BA4BE4">
        <w:rPr>
          <w:rFonts w:ascii="Times New Roman" w:hAnsi="Times New Roman"/>
          <w:b/>
          <w:sz w:val="26"/>
          <w:szCs w:val="26"/>
        </w:rPr>
        <w:t>Информация</w:t>
      </w:r>
    </w:p>
    <w:p w:rsidR="00406A3E" w:rsidRPr="00BA4BE4" w:rsidRDefault="00406A3E" w:rsidP="00A4661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A4BE4">
        <w:rPr>
          <w:rFonts w:ascii="Times New Roman" w:hAnsi="Times New Roman"/>
          <w:b/>
          <w:sz w:val="26"/>
          <w:szCs w:val="26"/>
        </w:rPr>
        <w:t>по результатам экспертно-аналитического мероприятия «</w:t>
      </w:r>
      <w:r w:rsidR="0035606D" w:rsidRPr="00BA4BE4">
        <w:rPr>
          <w:rFonts w:ascii="Times New Roman" w:hAnsi="Times New Roman"/>
          <w:b/>
          <w:sz w:val="26"/>
          <w:szCs w:val="26"/>
        </w:rPr>
        <w:t>Анализ действующего порядка и методики распределения дотаций на выравнивание бюджетной обеспеченности муниципальных районов и городских округов Республики Хакасия и выработка предложений, направленных на совершенствование механизма распределения указанных межбюджетных трансфертов, стимулирование развития доходной базы местных бюджетов и повышение эффективности управления бюджетными средствами</w:t>
      </w:r>
      <w:r w:rsidRPr="00BA4BE4">
        <w:rPr>
          <w:rFonts w:ascii="Times New Roman" w:hAnsi="Times New Roman"/>
          <w:b/>
          <w:sz w:val="26"/>
          <w:szCs w:val="26"/>
        </w:rPr>
        <w:t>»</w:t>
      </w:r>
    </w:p>
    <w:p w:rsidR="00FD528E" w:rsidRPr="00BA4BE4" w:rsidRDefault="00FD528E" w:rsidP="00A4661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90642" w:rsidRPr="00BA4BE4" w:rsidRDefault="00590642" w:rsidP="00590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sz w:val="26"/>
          <w:szCs w:val="26"/>
        </w:rPr>
        <w:t xml:space="preserve">В рамках экспертно-аналитического мероприятия Контрольно-счетной палатой Республики Хакасия проведена оценка </w:t>
      </w:r>
      <w:r w:rsidRPr="00BA4BE4">
        <w:rPr>
          <w:rFonts w:ascii="Times New Roman" w:eastAsia="Times New Roman" w:hAnsi="Times New Roman"/>
          <w:sz w:val="26"/>
          <w:szCs w:val="26"/>
        </w:rPr>
        <w:t>эффективности</w:t>
      </w:r>
      <w:r w:rsidRPr="00BA4BE4">
        <w:rPr>
          <w:rFonts w:ascii="Times New Roman" w:hAnsi="Times New Roman"/>
          <w:sz w:val="26"/>
          <w:szCs w:val="26"/>
        </w:rPr>
        <w:t xml:space="preserve"> действующего порядка и методики распределения дотаций на выравнивание бюджетной обеспеченности муниципальных образований республики. </w:t>
      </w:r>
    </w:p>
    <w:p w:rsidR="00560B7C" w:rsidRPr="00BA4BE4" w:rsidRDefault="00590567" w:rsidP="00480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bCs/>
          <w:sz w:val="26"/>
          <w:szCs w:val="26"/>
        </w:rPr>
        <w:tab/>
        <w:t xml:space="preserve">В </w:t>
      </w:r>
      <w:r w:rsidR="00D6781F" w:rsidRPr="00BA4BE4">
        <w:rPr>
          <w:rFonts w:ascii="Times New Roman" w:hAnsi="Times New Roman"/>
          <w:bCs/>
          <w:sz w:val="26"/>
          <w:szCs w:val="26"/>
        </w:rPr>
        <w:t>результате</w:t>
      </w:r>
      <w:r w:rsidRPr="00BA4BE4">
        <w:rPr>
          <w:rFonts w:ascii="Times New Roman" w:hAnsi="Times New Roman"/>
          <w:bCs/>
          <w:sz w:val="26"/>
          <w:szCs w:val="26"/>
        </w:rPr>
        <w:t xml:space="preserve"> установлено, что </w:t>
      </w:r>
      <w:r w:rsidR="006214C7" w:rsidRPr="00BA4BE4">
        <w:rPr>
          <w:rFonts w:ascii="Times New Roman" w:hAnsi="Times New Roman"/>
          <w:bCs/>
          <w:sz w:val="26"/>
          <w:szCs w:val="26"/>
        </w:rPr>
        <w:t xml:space="preserve">в </w:t>
      </w:r>
      <w:r w:rsidRPr="00BA4BE4">
        <w:rPr>
          <w:rFonts w:ascii="Times New Roman" w:hAnsi="Times New Roman"/>
          <w:bCs/>
          <w:sz w:val="26"/>
          <w:szCs w:val="26"/>
        </w:rPr>
        <w:t>нормативны</w:t>
      </w:r>
      <w:r w:rsidR="006214C7" w:rsidRPr="00BA4BE4">
        <w:rPr>
          <w:rFonts w:ascii="Times New Roman" w:hAnsi="Times New Roman"/>
          <w:bCs/>
          <w:sz w:val="26"/>
          <w:szCs w:val="26"/>
        </w:rPr>
        <w:t>х</w:t>
      </w:r>
      <w:r w:rsidRPr="00BA4BE4">
        <w:rPr>
          <w:rFonts w:ascii="Times New Roman" w:hAnsi="Times New Roman"/>
          <w:bCs/>
          <w:sz w:val="26"/>
          <w:szCs w:val="26"/>
        </w:rPr>
        <w:t xml:space="preserve"> правовы</w:t>
      </w:r>
      <w:r w:rsidR="006214C7" w:rsidRPr="00BA4BE4">
        <w:rPr>
          <w:rFonts w:ascii="Times New Roman" w:hAnsi="Times New Roman"/>
          <w:bCs/>
          <w:sz w:val="26"/>
          <w:szCs w:val="26"/>
        </w:rPr>
        <w:t>х</w:t>
      </w:r>
      <w:r w:rsidRPr="00BA4BE4">
        <w:rPr>
          <w:rFonts w:ascii="Times New Roman" w:hAnsi="Times New Roman"/>
          <w:bCs/>
          <w:sz w:val="26"/>
          <w:szCs w:val="26"/>
        </w:rPr>
        <w:t xml:space="preserve"> акт</w:t>
      </w:r>
      <w:r w:rsidR="006214C7" w:rsidRPr="00BA4BE4">
        <w:rPr>
          <w:rFonts w:ascii="Times New Roman" w:hAnsi="Times New Roman"/>
          <w:bCs/>
          <w:sz w:val="26"/>
          <w:szCs w:val="26"/>
        </w:rPr>
        <w:t>ах</w:t>
      </w:r>
      <w:r w:rsidRPr="00BA4BE4">
        <w:rPr>
          <w:rFonts w:ascii="Times New Roman" w:hAnsi="Times New Roman"/>
          <w:bCs/>
          <w:sz w:val="26"/>
          <w:szCs w:val="26"/>
        </w:rPr>
        <w:t xml:space="preserve"> Республики Хакасия, </w:t>
      </w:r>
      <w:r w:rsidRPr="00BA4BE4">
        <w:rPr>
          <w:rFonts w:ascii="Times New Roman" w:hAnsi="Times New Roman"/>
          <w:sz w:val="26"/>
          <w:szCs w:val="26"/>
        </w:rPr>
        <w:t>регламентирующи</w:t>
      </w:r>
      <w:r w:rsidR="006214C7" w:rsidRPr="00BA4BE4">
        <w:rPr>
          <w:rFonts w:ascii="Times New Roman" w:hAnsi="Times New Roman"/>
          <w:sz w:val="26"/>
          <w:szCs w:val="26"/>
        </w:rPr>
        <w:t>х</w:t>
      </w:r>
      <w:r w:rsidRPr="00BA4BE4">
        <w:rPr>
          <w:rFonts w:ascii="Times New Roman" w:hAnsi="Times New Roman"/>
          <w:sz w:val="26"/>
          <w:szCs w:val="26"/>
        </w:rPr>
        <w:t xml:space="preserve"> механизм распределения межбюджетных трансфертов на выравнивание бюджетной обеспеченности муниц</w:t>
      </w:r>
      <w:r w:rsidR="00560B7C" w:rsidRPr="00BA4BE4">
        <w:rPr>
          <w:rFonts w:ascii="Times New Roman" w:hAnsi="Times New Roman"/>
          <w:sz w:val="26"/>
          <w:szCs w:val="26"/>
        </w:rPr>
        <w:t>ипальных образований республики,</w:t>
      </w:r>
      <w:r w:rsidR="006214C7" w:rsidRPr="00BA4BE4">
        <w:rPr>
          <w:rFonts w:ascii="Times New Roman" w:hAnsi="Times New Roman"/>
          <w:sz w:val="26"/>
          <w:szCs w:val="26"/>
        </w:rPr>
        <w:t xml:space="preserve"> </w:t>
      </w:r>
      <w:r w:rsidR="00480792" w:rsidRPr="00BA4BE4">
        <w:rPr>
          <w:rFonts w:ascii="Times New Roman" w:hAnsi="Times New Roman"/>
          <w:sz w:val="26"/>
          <w:szCs w:val="26"/>
        </w:rPr>
        <w:t>и</w:t>
      </w:r>
      <w:r w:rsidR="006214C7" w:rsidRPr="00BA4BE4">
        <w:rPr>
          <w:rFonts w:ascii="Times New Roman" w:hAnsi="Times New Roman"/>
          <w:sz w:val="26"/>
          <w:szCs w:val="26"/>
        </w:rPr>
        <w:t>меются</w:t>
      </w:r>
      <w:r w:rsidR="00480792" w:rsidRPr="00BA4BE4">
        <w:rPr>
          <w:rFonts w:ascii="Times New Roman" w:hAnsi="Times New Roman"/>
          <w:sz w:val="26"/>
          <w:szCs w:val="26"/>
        </w:rPr>
        <w:t xml:space="preserve"> </w:t>
      </w:r>
      <w:r w:rsidR="00560B7C" w:rsidRPr="00BA4BE4">
        <w:rPr>
          <w:rFonts w:ascii="Times New Roman" w:hAnsi="Times New Roman"/>
          <w:sz w:val="26"/>
          <w:szCs w:val="26"/>
        </w:rPr>
        <w:t>отдельные нарушения и недостатки бюджетного законодательства, в том числе:</w:t>
      </w:r>
    </w:p>
    <w:p w:rsidR="00480792" w:rsidRPr="00BA4BE4" w:rsidRDefault="00480792" w:rsidP="00480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sz w:val="26"/>
          <w:szCs w:val="26"/>
        </w:rPr>
        <w:tab/>
      </w:r>
      <w:proofErr w:type="gramStart"/>
      <w:r w:rsidRPr="00BA4BE4">
        <w:rPr>
          <w:rFonts w:ascii="Times New Roman" w:hAnsi="Times New Roman"/>
          <w:sz w:val="26"/>
          <w:szCs w:val="26"/>
        </w:rPr>
        <w:t xml:space="preserve">1) В Республике Хакасия отсутствует нормативный правовой акт, регламентирующий порядок и сроки </w:t>
      </w:r>
      <w:r w:rsidRPr="00BA4BE4">
        <w:rPr>
          <w:rFonts w:ascii="Times New Roman" w:eastAsia="Times New Roman" w:hAnsi="Times New Roman"/>
          <w:sz w:val="26"/>
          <w:szCs w:val="26"/>
        </w:rPr>
        <w:t xml:space="preserve">сверки исходных данных, необходимых для проведения расчетов распределения дотаций на выравнивание бюджетной обеспеченности муниципальных районов (городских округов) и поселений республики с органами местного самоуправления муниципальных образований </w:t>
      </w:r>
      <w:r w:rsidR="00C10C93" w:rsidRPr="00BA4BE4">
        <w:rPr>
          <w:rFonts w:ascii="Times New Roman" w:eastAsia="Times New Roman" w:hAnsi="Times New Roman"/>
          <w:sz w:val="26"/>
          <w:szCs w:val="26"/>
        </w:rPr>
        <w:t>республики,</w:t>
      </w:r>
      <w:r w:rsidRPr="00BA4BE4">
        <w:rPr>
          <w:rFonts w:ascii="Times New Roman" w:eastAsia="Times New Roman" w:hAnsi="Times New Roman"/>
          <w:sz w:val="26"/>
          <w:szCs w:val="26"/>
        </w:rPr>
        <w:t xml:space="preserve"> </w:t>
      </w:r>
      <w:r w:rsidR="00C10C93" w:rsidRPr="00BA4BE4">
        <w:rPr>
          <w:rFonts w:ascii="Times New Roman" w:eastAsia="Times New Roman" w:hAnsi="Times New Roman"/>
          <w:sz w:val="26"/>
          <w:szCs w:val="26"/>
        </w:rPr>
        <w:t>в</w:t>
      </w:r>
      <w:r w:rsidRPr="00BA4BE4">
        <w:rPr>
          <w:rFonts w:ascii="Times New Roman" w:eastAsia="Times New Roman" w:hAnsi="Times New Roman"/>
          <w:sz w:val="26"/>
          <w:szCs w:val="26"/>
        </w:rPr>
        <w:t xml:space="preserve">следствие чего </w:t>
      </w:r>
      <w:r w:rsidRPr="00BA4BE4">
        <w:rPr>
          <w:rFonts w:ascii="Times New Roman" w:hAnsi="Times New Roman"/>
          <w:sz w:val="26"/>
          <w:szCs w:val="26"/>
        </w:rPr>
        <w:t>муниципальные образования не имеют возможности в случае несогласия по отдельным показателям исходных характеристик поставить вопрос о необходимост</w:t>
      </w:r>
      <w:r w:rsidR="00513E40" w:rsidRPr="00BA4BE4">
        <w:rPr>
          <w:rFonts w:ascii="Times New Roman" w:hAnsi="Times New Roman"/>
          <w:sz w:val="26"/>
          <w:szCs w:val="26"/>
        </w:rPr>
        <w:t>и проведения их</w:t>
      </w:r>
      <w:proofErr w:type="gramEnd"/>
      <w:r w:rsidR="00513E40" w:rsidRPr="00BA4BE4">
        <w:rPr>
          <w:rFonts w:ascii="Times New Roman" w:hAnsi="Times New Roman"/>
          <w:sz w:val="26"/>
          <w:szCs w:val="26"/>
        </w:rPr>
        <w:t xml:space="preserve"> корректировки.</w:t>
      </w:r>
    </w:p>
    <w:p w:rsidR="00480792" w:rsidRPr="00BA4BE4" w:rsidRDefault="00480792" w:rsidP="00F554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bCs/>
          <w:sz w:val="26"/>
          <w:szCs w:val="26"/>
        </w:rPr>
        <w:tab/>
        <w:t>2) </w:t>
      </w:r>
      <w:r w:rsidRPr="00BA4BE4">
        <w:rPr>
          <w:rFonts w:ascii="Times New Roman" w:hAnsi="Times New Roman"/>
          <w:sz w:val="26"/>
          <w:szCs w:val="26"/>
        </w:rPr>
        <w:t>Методиками распределения дотаций на выравнивание</w:t>
      </w:r>
      <w:r w:rsidR="00F55492" w:rsidRPr="00BA4BE4">
        <w:rPr>
          <w:rFonts w:ascii="Times New Roman" w:hAnsi="Times New Roman"/>
          <w:sz w:val="26"/>
          <w:szCs w:val="26"/>
        </w:rPr>
        <w:t xml:space="preserve"> </w:t>
      </w:r>
      <w:r w:rsidRPr="00BA4BE4">
        <w:rPr>
          <w:rFonts w:ascii="Times New Roman" w:eastAsia="Times New Roman" w:hAnsi="Times New Roman"/>
          <w:sz w:val="26"/>
          <w:szCs w:val="26"/>
        </w:rPr>
        <w:t xml:space="preserve">не конкретизирован порядок </w:t>
      </w:r>
      <w:r w:rsidRPr="00BA4BE4">
        <w:rPr>
          <w:rFonts w:ascii="Times New Roman" w:hAnsi="Times New Roman"/>
          <w:sz w:val="26"/>
          <w:szCs w:val="26"/>
        </w:rPr>
        <w:t xml:space="preserve">расчета налогового потенциала и прогнозных </w:t>
      </w:r>
      <w:r w:rsidRPr="00BA4BE4">
        <w:rPr>
          <w:rFonts w:ascii="Times New Roman" w:hAnsi="Times New Roman"/>
          <w:bCs/>
          <w:sz w:val="26"/>
          <w:szCs w:val="26"/>
        </w:rPr>
        <w:t xml:space="preserve">расходных потребностей, которые определены </w:t>
      </w:r>
      <w:r w:rsidRPr="00BA4BE4">
        <w:rPr>
          <w:rFonts w:ascii="Times New Roman" w:eastAsia="Times New Roman" w:hAnsi="Times New Roman"/>
          <w:sz w:val="26"/>
          <w:szCs w:val="26"/>
        </w:rPr>
        <w:t xml:space="preserve">в общих чертах, </w:t>
      </w:r>
      <w:r w:rsidRPr="00BA4BE4">
        <w:rPr>
          <w:rFonts w:ascii="Times New Roman" w:hAnsi="Times New Roman"/>
          <w:sz w:val="26"/>
          <w:szCs w:val="26"/>
        </w:rPr>
        <w:t xml:space="preserve">что приводит к возможности </w:t>
      </w:r>
      <w:r w:rsidR="00513E40" w:rsidRPr="00BA4BE4">
        <w:rPr>
          <w:rFonts w:ascii="Times New Roman" w:hAnsi="Times New Roman"/>
          <w:sz w:val="26"/>
          <w:szCs w:val="26"/>
        </w:rPr>
        <w:t>их различной трактовки.</w:t>
      </w:r>
    </w:p>
    <w:p w:rsidR="00480792" w:rsidRPr="00BA4BE4" w:rsidRDefault="00480792" w:rsidP="004807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bCs/>
          <w:sz w:val="26"/>
          <w:szCs w:val="26"/>
        </w:rPr>
        <w:tab/>
        <w:t>3) </w:t>
      </w:r>
      <w:r w:rsidRPr="00BA4BE4">
        <w:rPr>
          <w:rFonts w:ascii="Times New Roman" w:hAnsi="Times New Roman"/>
          <w:sz w:val="26"/>
          <w:szCs w:val="26"/>
        </w:rPr>
        <w:t xml:space="preserve">Законом Республики Хакасия </w:t>
      </w:r>
      <w:r w:rsidR="00F55492" w:rsidRPr="00BA4BE4">
        <w:rPr>
          <w:rFonts w:ascii="Times New Roman" w:hAnsi="Times New Roman"/>
          <w:sz w:val="26"/>
          <w:szCs w:val="26"/>
        </w:rPr>
        <w:t>от 06.12.2007 № 87-ЗРХ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Хакасия» н</w:t>
      </w:r>
      <w:r w:rsidRPr="00BA4BE4">
        <w:rPr>
          <w:rFonts w:ascii="Times New Roman" w:hAnsi="Times New Roman"/>
          <w:sz w:val="26"/>
          <w:szCs w:val="26"/>
        </w:rPr>
        <w:t>е определены показатели эффективности выравнивания бюджетной обеспеченности поселений Республики Хакасия, что влечет возникновение риска неэффективного исполнения муниципальными районами переданных пол</w:t>
      </w:r>
      <w:r w:rsidR="00513E40" w:rsidRPr="00BA4BE4">
        <w:rPr>
          <w:rFonts w:ascii="Times New Roman" w:hAnsi="Times New Roman"/>
          <w:sz w:val="26"/>
          <w:szCs w:val="26"/>
        </w:rPr>
        <w:t>номочий.</w:t>
      </w:r>
      <w:r w:rsidRPr="00BA4BE4">
        <w:rPr>
          <w:rFonts w:ascii="Times New Roman" w:hAnsi="Times New Roman"/>
          <w:sz w:val="26"/>
          <w:szCs w:val="26"/>
        </w:rPr>
        <w:t xml:space="preserve"> </w:t>
      </w:r>
    </w:p>
    <w:p w:rsidR="00590642" w:rsidRPr="00BA4BE4" w:rsidRDefault="00480792" w:rsidP="00530D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bCs/>
          <w:sz w:val="26"/>
          <w:szCs w:val="26"/>
        </w:rPr>
        <w:tab/>
        <w:t>4) </w:t>
      </w:r>
      <w:r w:rsidRPr="00BA4BE4">
        <w:rPr>
          <w:rFonts w:ascii="Times New Roman" w:hAnsi="Times New Roman"/>
          <w:sz w:val="26"/>
          <w:szCs w:val="26"/>
        </w:rPr>
        <w:t xml:space="preserve">Методика распределения </w:t>
      </w:r>
      <w:r w:rsidRPr="00BA4BE4">
        <w:rPr>
          <w:rFonts w:ascii="Times New Roman" w:hAnsi="Times New Roman"/>
          <w:bCs/>
          <w:sz w:val="26"/>
          <w:szCs w:val="26"/>
        </w:rPr>
        <w:t xml:space="preserve">дотаций на поддержку мер по обеспечению сбалансированности бюджетов муниципальных образований </w:t>
      </w:r>
      <w:r w:rsidRPr="00BA4BE4">
        <w:rPr>
          <w:rFonts w:ascii="Times New Roman" w:hAnsi="Times New Roman"/>
          <w:sz w:val="26"/>
          <w:szCs w:val="26"/>
        </w:rPr>
        <w:t>отсутствует, в наличии только Порядок распределения</w:t>
      </w:r>
      <w:r w:rsidR="00F55492" w:rsidRPr="00BA4BE4">
        <w:rPr>
          <w:rFonts w:ascii="Times New Roman" w:hAnsi="Times New Roman"/>
          <w:sz w:val="26"/>
          <w:szCs w:val="26"/>
        </w:rPr>
        <w:t>, в котором не конкретизированы стимулирующие механизмы для муниципальных образований, достигших наилучших результатов деятельности по увеличению поступлений налоговых доходов в местные бюджеты</w:t>
      </w:r>
      <w:r w:rsidR="00C10C93" w:rsidRPr="00BA4BE4">
        <w:rPr>
          <w:rFonts w:ascii="Times New Roman" w:hAnsi="Times New Roman"/>
          <w:sz w:val="26"/>
          <w:szCs w:val="26"/>
        </w:rPr>
        <w:t>.</w:t>
      </w:r>
    </w:p>
    <w:p w:rsidR="00590567" w:rsidRPr="00BA4BE4" w:rsidRDefault="00590567" w:rsidP="00530D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sz w:val="26"/>
          <w:szCs w:val="26"/>
        </w:rPr>
        <w:tab/>
      </w:r>
      <w:r w:rsidR="001C4813" w:rsidRPr="00BA4BE4">
        <w:rPr>
          <w:rFonts w:ascii="Times New Roman" w:hAnsi="Times New Roman"/>
          <w:sz w:val="26"/>
          <w:szCs w:val="26"/>
        </w:rPr>
        <w:t>Также, в</w:t>
      </w:r>
      <w:r w:rsidRPr="00BA4BE4">
        <w:rPr>
          <w:rFonts w:ascii="Times New Roman" w:hAnsi="Times New Roman"/>
          <w:sz w:val="26"/>
          <w:szCs w:val="26"/>
        </w:rPr>
        <w:t xml:space="preserve"> рамках экспертно-аналитического мероприятия проведена оценка объема распределения </w:t>
      </w:r>
      <w:r w:rsidRPr="00BA4BE4">
        <w:rPr>
          <w:rFonts w:ascii="Times New Roman" w:eastAsia="Times New Roman" w:hAnsi="Times New Roman"/>
          <w:sz w:val="26"/>
          <w:szCs w:val="26"/>
        </w:rPr>
        <w:t xml:space="preserve">межбюджетных трансфертов на выравнивание </w:t>
      </w:r>
      <w:r w:rsidRPr="00BA4BE4">
        <w:rPr>
          <w:rFonts w:ascii="Times New Roman" w:hAnsi="Times New Roman"/>
          <w:sz w:val="26"/>
          <w:szCs w:val="26"/>
        </w:rPr>
        <w:t>бюджетной обеспеченности и показателей бюджетного выравнивания муниципальных образований Республики Хакасия за 201</w:t>
      </w:r>
      <w:r w:rsidR="00560B7C" w:rsidRPr="00BA4BE4">
        <w:rPr>
          <w:rFonts w:ascii="Times New Roman" w:hAnsi="Times New Roman"/>
          <w:sz w:val="26"/>
          <w:szCs w:val="26"/>
        </w:rPr>
        <w:t>7</w:t>
      </w:r>
      <w:r w:rsidRPr="00BA4BE4">
        <w:rPr>
          <w:rFonts w:ascii="Times New Roman" w:hAnsi="Times New Roman"/>
          <w:sz w:val="26"/>
          <w:szCs w:val="26"/>
        </w:rPr>
        <w:t>-201</w:t>
      </w:r>
      <w:r w:rsidR="00560B7C" w:rsidRPr="00BA4BE4">
        <w:rPr>
          <w:rFonts w:ascii="Times New Roman" w:hAnsi="Times New Roman"/>
          <w:sz w:val="26"/>
          <w:szCs w:val="26"/>
        </w:rPr>
        <w:t>9</w:t>
      </w:r>
      <w:r w:rsidRPr="00BA4BE4">
        <w:rPr>
          <w:rFonts w:ascii="Times New Roman" w:hAnsi="Times New Roman"/>
          <w:sz w:val="26"/>
          <w:szCs w:val="26"/>
        </w:rPr>
        <w:t xml:space="preserve"> годы.</w:t>
      </w:r>
    </w:p>
    <w:p w:rsidR="00601BFA" w:rsidRPr="00BA4BE4" w:rsidRDefault="00601BFA" w:rsidP="00601B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A4BE4">
        <w:rPr>
          <w:sz w:val="26"/>
          <w:szCs w:val="26"/>
        </w:rPr>
        <w:tab/>
      </w:r>
      <w:r w:rsidRPr="00BA4BE4">
        <w:rPr>
          <w:rFonts w:ascii="Times New Roman" w:hAnsi="Times New Roman"/>
          <w:sz w:val="26"/>
          <w:szCs w:val="26"/>
        </w:rPr>
        <w:t xml:space="preserve">За анализируемый период </w:t>
      </w:r>
      <w:r w:rsidRPr="00BA4BE4">
        <w:rPr>
          <w:rFonts w:ascii="Times New Roman" w:hAnsi="Times New Roman"/>
          <w:bCs/>
          <w:sz w:val="26"/>
          <w:szCs w:val="26"/>
        </w:rPr>
        <w:t xml:space="preserve">общий объем дотаций на выравнивание бюджетной обеспеченности муниципальных районов (городских округов) с учетом дополнительных нормативов от НДФЛ по сравнению с 2017 годом увеличился  на 34,9%, или на  </w:t>
      </w:r>
      <w:r w:rsidR="00513E40" w:rsidRPr="00BA4BE4">
        <w:rPr>
          <w:rFonts w:ascii="Times New Roman" w:hAnsi="Times New Roman"/>
          <w:bCs/>
          <w:sz w:val="26"/>
          <w:szCs w:val="26"/>
        </w:rPr>
        <w:t>4</w:t>
      </w:r>
      <w:r w:rsidRPr="00BA4BE4">
        <w:rPr>
          <w:rFonts w:ascii="Times New Roman" w:hAnsi="Times New Roman"/>
          <w:bCs/>
          <w:sz w:val="26"/>
          <w:szCs w:val="26"/>
        </w:rPr>
        <w:t>76 млн., и составил на 2019 год 1,8 млрд. рублей.</w:t>
      </w:r>
    </w:p>
    <w:p w:rsidR="00943DC7" w:rsidRPr="00BA4BE4" w:rsidRDefault="00943DC7" w:rsidP="00C10C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sz w:val="26"/>
          <w:szCs w:val="26"/>
        </w:rPr>
        <w:lastRenderedPageBreak/>
        <w:t>Д</w:t>
      </w:r>
      <w:r w:rsidRPr="00BA4BE4">
        <w:rPr>
          <w:rFonts w:ascii="Times New Roman" w:hAnsi="Times New Roman"/>
          <w:bCs/>
          <w:sz w:val="26"/>
          <w:szCs w:val="26"/>
        </w:rPr>
        <w:t xml:space="preserve">отации на выравнивание бюджетной обеспеченности муниципальных районов (городских округов) </w:t>
      </w:r>
      <w:r w:rsidRPr="00BA4BE4">
        <w:rPr>
          <w:rFonts w:ascii="Times New Roman" w:eastAsiaTheme="minorHAnsi" w:hAnsi="Times New Roman"/>
          <w:sz w:val="26"/>
          <w:szCs w:val="26"/>
        </w:rPr>
        <w:t xml:space="preserve">Республики Хакасия, распределенные по единой методике, </w:t>
      </w:r>
      <w:r w:rsidRPr="00BA4BE4">
        <w:rPr>
          <w:rFonts w:ascii="Times New Roman" w:hAnsi="Times New Roman"/>
          <w:bCs/>
          <w:sz w:val="26"/>
          <w:szCs w:val="26"/>
        </w:rPr>
        <w:t xml:space="preserve">не обеспечивают покрытие объема расходных обязательств муниципальных образований. В связи с чем, </w:t>
      </w:r>
      <w:r w:rsidRPr="00BA4BE4">
        <w:rPr>
          <w:rFonts w:ascii="Times New Roman" w:hAnsi="Times New Roman"/>
          <w:sz w:val="26"/>
          <w:szCs w:val="26"/>
        </w:rPr>
        <w:t>ежегодно предусматриваются дотации на поддержку мер по обеспечению сбалансированности местных бюджетов</w:t>
      </w:r>
      <w:r w:rsidR="00AE4867" w:rsidRPr="00AE4867">
        <w:rPr>
          <w:rFonts w:ascii="Times New Roman" w:hAnsi="Times New Roman"/>
          <w:sz w:val="26"/>
          <w:szCs w:val="26"/>
        </w:rPr>
        <w:t xml:space="preserve"> </w:t>
      </w:r>
      <w:r w:rsidR="00AE4867">
        <w:rPr>
          <w:rFonts w:ascii="Times New Roman" w:hAnsi="Times New Roman"/>
          <w:sz w:val="26"/>
          <w:szCs w:val="26"/>
        </w:rPr>
        <w:t>из</w:t>
      </w:r>
      <w:r w:rsidR="00AE4867" w:rsidRPr="00BA4BE4">
        <w:rPr>
          <w:rFonts w:ascii="Times New Roman" w:hAnsi="Times New Roman"/>
          <w:sz w:val="26"/>
          <w:szCs w:val="26"/>
        </w:rPr>
        <w:t xml:space="preserve"> республиканско</w:t>
      </w:r>
      <w:r w:rsidR="00AE4867">
        <w:rPr>
          <w:rFonts w:ascii="Times New Roman" w:hAnsi="Times New Roman"/>
          <w:sz w:val="26"/>
          <w:szCs w:val="26"/>
        </w:rPr>
        <w:t>го</w:t>
      </w:r>
      <w:r w:rsidR="00AE4867" w:rsidRPr="00BA4BE4">
        <w:rPr>
          <w:rFonts w:ascii="Times New Roman" w:hAnsi="Times New Roman"/>
          <w:sz w:val="26"/>
          <w:szCs w:val="26"/>
        </w:rPr>
        <w:t xml:space="preserve"> бюджет</w:t>
      </w:r>
      <w:r w:rsidR="00AE4867">
        <w:rPr>
          <w:rFonts w:ascii="Times New Roman" w:hAnsi="Times New Roman"/>
          <w:sz w:val="26"/>
          <w:szCs w:val="26"/>
        </w:rPr>
        <w:t>а</w:t>
      </w:r>
      <w:r w:rsidRPr="00BA4BE4">
        <w:rPr>
          <w:rFonts w:ascii="Times New Roman" w:hAnsi="Times New Roman"/>
          <w:sz w:val="26"/>
          <w:szCs w:val="26"/>
        </w:rPr>
        <w:t>, которые в 2017 году составили 2</w:t>
      </w:r>
      <w:r w:rsidR="003C3C4F" w:rsidRPr="00BA4BE4">
        <w:rPr>
          <w:rFonts w:ascii="Times New Roman" w:hAnsi="Times New Roman"/>
          <w:sz w:val="26"/>
          <w:szCs w:val="26"/>
        </w:rPr>
        <w:t>23,5</w:t>
      </w:r>
      <w:r w:rsidRPr="00BA4BE4">
        <w:rPr>
          <w:rFonts w:ascii="Times New Roman" w:hAnsi="Times New Roman"/>
          <w:sz w:val="26"/>
          <w:szCs w:val="26"/>
        </w:rPr>
        <w:t xml:space="preserve"> млн. рублей, в 2018 году – 3</w:t>
      </w:r>
      <w:r w:rsidR="003C3C4F" w:rsidRPr="00BA4BE4">
        <w:rPr>
          <w:rFonts w:ascii="Times New Roman" w:hAnsi="Times New Roman"/>
          <w:sz w:val="26"/>
          <w:szCs w:val="26"/>
        </w:rPr>
        <w:t>15,1</w:t>
      </w:r>
      <w:r w:rsidRPr="00BA4BE4">
        <w:rPr>
          <w:rFonts w:ascii="Times New Roman" w:hAnsi="Times New Roman"/>
          <w:sz w:val="26"/>
          <w:szCs w:val="26"/>
        </w:rPr>
        <w:t xml:space="preserve"> млн. рублей</w:t>
      </w:r>
      <w:r w:rsidR="003C3C4F" w:rsidRPr="00BA4BE4">
        <w:rPr>
          <w:rFonts w:ascii="Times New Roman" w:hAnsi="Times New Roman"/>
          <w:sz w:val="26"/>
          <w:szCs w:val="26"/>
        </w:rPr>
        <w:t>.</w:t>
      </w:r>
    </w:p>
    <w:p w:rsidR="00601BFA" w:rsidRPr="00BA4BE4" w:rsidRDefault="00601BFA" w:rsidP="00C10C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sz w:val="26"/>
          <w:szCs w:val="26"/>
        </w:rPr>
        <w:t>Данный вид межбюджетных трансфертов является дополнительным по отношению к дотациям на выравни</w:t>
      </w:r>
      <w:r w:rsidR="00CE2502" w:rsidRPr="00BA4BE4">
        <w:rPr>
          <w:rFonts w:ascii="Times New Roman" w:hAnsi="Times New Roman"/>
          <w:sz w:val="26"/>
          <w:szCs w:val="26"/>
        </w:rPr>
        <w:t xml:space="preserve">вание бюджетной обеспеченности, который </w:t>
      </w:r>
      <w:r w:rsidRPr="00BA4BE4">
        <w:rPr>
          <w:rFonts w:ascii="Times New Roman" w:hAnsi="Times New Roman"/>
          <w:sz w:val="26"/>
          <w:szCs w:val="26"/>
        </w:rPr>
        <w:t>не долж</w:t>
      </w:r>
      <w:r w:rsidR="00835266">
        <w:rPr>
          <w:rFonts w:ascii="Times New Roman" w:hAnsi="Times New Roman"/>
          <w:sz w:val="26"/>
          <w:szCs w:val="26"/>
        </w:rPr>
        <w:t>е</w:t>
      </w:r>
      <w:r w:rsidRPr="00BA4BE4">
        <w:rPr>
          <w:rFonts w:ascii="Times New Roman" w:hAnsi="Times New Roman"/>
          <w:sz w:val="26"/>
          <w:szCs w:val="26"/>
        </w:rPr>
        <w:t>н превращаться в механизм, компенсирующий недостатки оценки доходов и расходных потребностей и, как следствие, недостаточн</w:t>
      </w:r>
      <w:r w:rsidR="00835266">
        <w:rPr>
          <w:rFonts w:ascii="Times New Roman" w:hAnsi="Times New Roman"/>
          <w:sz w:val="26"/>
          <w:szCs w:val="26"/>
        </w:rPr>
        <w:t>ого</w:t>
      </w:r>
      <w:r w:rsidRPr="00BA4BE4">
        <w:rPr>
          <w:rFonts w:ascii="Times New Roman" w:hAnsi="Times New Roman"/>
          <w:sz w:val="26"/>
          <w:szCs w:val="26"/>
        </w:rPr>
        <w:t xml:space="preserve"> объем</w:t>
      </w:r>
      <w:r w:rsidR="00835266">
        <w:rPr>
          <w:rFonts w:ascii="Times New Roman" w:hAnsi="Times New Roman"/>
          <w:sz w:val="26"/>
          <w:szCs w:val="26"/>
        </w:rPr>
        <w:t>а</w:t>
      </w:r>
      <w:r w:rsidRPr="00BA4BE4">
        <w:rPr>
          <w:rFonts w:ascii="Times New Roman" w:hAnsi="Times New Roman"/>
          <w:sz w:val="26"/>
          <w:szCs w:val="26"/>
        </w:rPr>
        <w:t xml:space="preserve"> финансовых ресурсов, переданны</w:t>
      </w:r>
      <w:r w:rsidR="00CE2502" w:rsidRPr="00BA4BE4">
        <w:rPr>
          <w:rFonts w:ascii="Times New Roman" w:hAnsi="Times New Roman"/>
          <w:sz w:val="26"/>
          <w:szCs w:val="26"/>
        </w:rPr>
        <w:t>х</w:t>
      </w:r>
      <w:r w:rsidRPr="00BA4BE4">
        <w:rPr>
          <w:rFonts w:ascii="Times New Roman" w:hAnsi="Times New Roman"/>
          <w:sz w:val="26"/>
          <w:szCs w:val="26"/>
        </w:rPr>
        <w:t xml:space="preserve"> муниципальным образованиям в результате распределения дотаций на выравнивание бюджетной обеспеченности. </w:t>
      </w:r>
    </w:p>
    <w:p w:rsidR="00C75BDA" w:rsidRPr="00BA4BE4" w:rsidRDefault="008B2DEA" w:rsidP="008B2DEA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sz w:val="26"/>
          <w:szCs w:val="26"/>
        </w:rPr>
        <w:t>Результатом бюджетного выравнивания должно являться сокращение между минимальным и максимальным уровнем бюджетной обеспеченности муниципальных образов</w:t>
      </w:r>
      <w:r w:rsidR="00C75BDA" w:rsidRPr="00BA4BE4">
        <w:rPr>
          <w:rFonts w:ascii="Times New Roman" w:hAnsi="Times New Roman"/>
          <w:sz w:val="26"/>
          <w:szCs w:val="26"/>
        </w:rPr>
        <w:t>аний, п</w:t>
      </w:r>
      <w:r w:rsidRPr="00BA4BE4">
        <w:rPr>
          <w:rFonts w:ascii="Times New Roman" w:hAnsi="Times New Roman"/>
          <w:sz w:val="26"/>
          <w:szCs w:val="26"/>
        </w:rPr>
        <w:t xml:space="preserve">ри этом в период 2017-2019 годов в ходе бюджетного выравнивания муниципальных районов (городских округов) Республики Хакасия не обеспечены равные условия для устойчивого исполнения их </w:t>
      </w:r>
      <w:r w:rsidR="00C75BDA" w:rsidRPr="00BA4BE4">
        <w:rPr>
          <w:rFonts w:ascii="Times New Roman" w:hAnsi="Times New Roman"/>
          <w:sz w:val="26"/>
          <w:szCs w:val="26"/>
        </w:rPr>
        <w:t>расходных обязательств:</w:t>
      </w:r>
    </w:p>
    <w:p w:rsidR="008B2DEA" w:rsidRPr="00BA4BE4" w:rsidRDefault="00C75BDA" w:rsidP="008B2DEA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sz w:val="26"/>
          <w:szCs w:val="26"/>
        </w:rPr>
        <w:t xml:space="preserve">1) Наблюдается </w:t>
      </w:r>
      <w:r w:rsidR="008B2DEA" w:rsidRPr="00BA4BE4">
        <w:rPr>
          <w:rFonts w:ascii="Times New Roman" w:hAnsi="Times New Roman"/>
          <w:sz w:val="26"/>
          <w:szCs w:val="26"/>
        </w:rPr>
        <w:t>превышение уровня расчетной бюджетной обеспеченности тех муниципальных образований, которые до бюджетного выравнивания имели более высокий уровень расчетной бюджетной обеспеченности</w:t>
      </w:r>
      <w:r w:rsidR="00BA4BE4" w:rsidRPr="00BA4BE4">
        <w:rPr>
          <w:rFonts w:ascii="Times New Roman" w:hAnsi="Times New Roman"/>
          <w:sz w:val="26"/>
          <w:szCs w:val="26"/>
        </w:rPr>
        <w:t>.</w:t>
      </w:r>
    </w:p>
    <w:p w:rsidR="008B2DEA" w:rsidRPr="00BA4BE4" w:rsidRDefault="008B2DEA" w:rsidP="008B2DE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A4BE4">
        <w:rPr>
          <w:rFonts w:ascii="Times New Roman" w:hAnsi="Times New Roman"/>
          <w:bCs/>
          <w:sz w:val="26"/>
          <w:szCs w:val="26"/>
        </w:rPr>
        <w:tab/>
      </w:r>
      <w:r w:rsidR="00C75BDA" w:rsidRPr="00BA4BE4">
        <w:rPr>
          <w:rFonts w:ascii="Times New Roman" w:hAnsi="Times New Roman"/>
          <w:bCs/>
          <w:sz w:val="26"/>
          <w:szCs w:val="26"/>
        </w:rPr>
        <w:t>2) </w:t>
      </w:r>
      <w:r w:rsidRPr="00BA4BE4">
        <w:rPr>
          <w:rFonts w:ascii="Times New Roman" w:hAnsi="Times New Roman"/>
          <w:sz w:val="26"/>
          <w:szCs w:val="26"/>
        </w:rPr>
        <w:t>При снижении в динамике налогового потенциала отдельных муниципальных образований республики общий объем дотации на выравнивание (включая  дополнительные нормативы отчислений в бюджеты муниципальных образований от налога на доходы физических лиц) увеличив</w:t>
      </w:r>
      <w:r w:rsidR="00C75BDA" w:rsidRPr="00BA4BE4">
        <w:rPr>
          <w:rFonts w:ascii="Times New Roman" w:hAnsi="Times New Roman"/>
          <w:sz w:val="26"/>
          <w:szCs w:val="26"/>
        </w:rPr>
        <w:t>ается</w:t>
      </w:r>
      <w:r w:rsidR="00C75BDA" w:rsidRPr="00BA4BE4">
        <w:rPr>
          <w:rFonts w:ascii="Times New Roman" w:eastAsia="Times New Roman" w:hAnsi="Times New Roman"/>
          <w:sz w:val="26"/>
          <w:szCs w:val="26"/>
        </w:rPr>
        <w:t>.</w:t>
      </w:r>
    </w:p>
    <w:p w:rsidR="008B2DEA" w:rsidRPr="00BA4BE4" w:rsidRDefault="008B2DEA" w:rsidP="008B2D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bCs/>
          <w:sz w:val="26"/>
          <w:szCs w:val="26"/>
        </w:rPr>
        <w:tab/>
      </w:r>
      <w:r w:rsidR="00C75BDA" w:rsidRPr="00BA4BE4">
        <w:rPr>
          <w:rFonts w:ascii="Times New Roman" w:hAnsi="Times New Roman"/>
          <w:bCs/>
          <w:sz w:val="26"/>
          <w:szCs w:val="26"/>
        </w:rPr>
        <w:t xml:space="preserve">Вышеуказанные </w:t>
      </w:r>
      <w:r w:rsidRPr="00BA4BE4">
        <w:rPr>
          <w:rFonts w:ascii="Times New Roman" w:hAnsi="Times New Roman"/>
          <w:sz w:val="26"/>
          <w:szCs w:val="26"/>
        </w:rPr>
        <w:t xml:space="preserve">факты приводят к снижению стимулов у отдельных муниципальных образований </w:t>
      </w:r>
      <w:r w:rsidR="00C75BDA" w:rsidRPr="00BA4BE4">
        <w:rPr>
          <w:rFonts w:ascii="Times New Roman" w:hAnsi="Times New Roman"/>
          <w:sz w:val="26"/>
          <w:szCs w:val="26"/>
        </w:rPr>
        <w:t>республики</w:t>
      </w:r>
      <w:r w:rsidRPr="00BA4BE4">
        <w:rPr>
          <w:rFonts w:ascii="Times New Roman" w:eastAsia="Times New Roman" w:hAnsi="Times New Roman"/>
          <w:sz w:val="26"/>
          <w:szCs w:val="26"/>
        </w:rPr>
        <w:t xml:space="preserve"> по увеличению налогового потенциала</w:t>
      </w:r>
      <w:r w:rsidRPr="00BA4BE4">
        <w:rPr>
          <w:rFonts w:ascii="Times New Roman" w:hAnsi="Times New Roman"/>
          <w:sz w:val="26"/>
          <w:szCs w:val="26"/>
        </w:rPr>
        <w:t>.</w:t>
      </w:r>
    </w:p>
    <w:p w:rsidR="00C10C93" w:rsidRPr="00BA4BE4" w:rsidRDefault="00C10C93" w:rsidP="00C10C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bCs/>
          <w:sz w:val="26"/>
          <w:szCs w:val="26"/>
        </w:rPr>
        <w:t>С</w:t>
      </w:r>
      <w:r w:rsidRPr="00BA4BE4">
        <w:rPr>
          <w:rFonts w:ascii="Times New Roman" w:hAnsi="Times New Roman"/>
          <w:sz w:val="26"/>
          <w:szCs w:val="26"/>
        </w:rPr>
        <w:t>ложившаяся в республике структура межбюджетных трансфертов не обеспечивает в полной мере предсказуемость и объективность распределения дотаций, выравнивающих бюджетную обеспеченность муниципальных образований, в среднесрочном периоде, ограничивает самостоятельность и бюджетную ответственность органов местного самоуправления и не создает достаточных стимулов для наращивания собственного налогового потенциала и оптимизации расходов местных бюджетов.</w:t>
      </w:r>
    </w:p>
    <w:p w:rsidR="00C10C93" w:rsidRPr="00BA4BE4" w:rsidRDefault="00C10C93" w:rsidP="00C10C93">
      <w:pPr>
        <w:pStyle w:val="ac"/>
        <w:tabs>
          <w:tab w:val="left" w:pos="0"/>
        </w:tabs>
        <w:spacing w:before="0" w:beforeAutospacing="0" w:after="0" w:afterAutospacing="0"/>
        <w:ind w:firstLine="720"/>
        <w:contextualSpacing/>
        <w:jc w:val="both"/>
        <w:rPr>
          <w:sz w:val="26"/>
          <w:szCs w:val="26"/>
        </w:rPr>
      </w:pPr>
      <w:r w:rsidRPr="00BA4BE4">
        <w:rPr>
          <w:sz w:val="26"/>
          <w:szCs w:val="26"/>
        </w:rPr>
        <w:t xml:space="preserve">По результатам экспертно-аналитического мероприятия в адрес Министерства финансов Республики Хакасия с учетом опыта субъектов Российской Федерации подготовлены </w:t>
      </w:r>
      <w:proofErr w:type="gramStart"/>
      <w:r w:rsidRPr="00BA4BE4">
        <w:rPr>
          <w:sz w:val="26"/>
          <w:szCs w:val="26"/>
        </w:rPr>
        <w:t>рекомендации</w:t>
      </w:r>
      <w:proofErr w:type="gramEnd"/>
      <w:r w:rsidRPr="00BA4BE4">
        <w:rPr>
          <w:sz w:val="26"/>
          <w:szCs w:val="26"/>
        </w:rPr>
        <w:t xml:space="preserve"> и предложения в части совершенствования методик по распределению межбюджетных трансфертов, выравнивающих бюджетную обеспеченность муниципальных образований республики, способств</w:t>
      </w:r>
      <w:r w:rsidR="00835266">
        <w:rPr>
          <w:sz w:val="26"/>
          <w:szCs w:val="26"/>
        </w:rPr>
        <w:t>ующих</w:t>
      </w:r>
      <w:r w:rsidRPr="00BA4BE4">
        <w:rPr>
          <w:sz w:val="26"/>
          <w:szCs w:val="26"/>
        </w:rPr>
        <w:t xml:space="preserve"> сокращению дифференциации местных бюджетов.</w:t>
      </w:r>
    </w:p>
    <w:p w:rsidR="00C10C93" w:rsidRPr="00BA4BE4" w:rsidRDefault="00C10C93" w:rsidP="00C10C93">
      <w:pPr>
        <w:autoSpaceDE w:val="0"/>
        <w:autoSpaceDN w:val="0"/>
        <w:adjustRightInd w:val="0"/>
        <w:spacing w:after="0" w:line="240" w:lineRule="auto"/>
        <w:ind w:right="-143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sz w:val="26"/>
          <w:szCs w:val="26"/>
        </w:rPr>
        <w:t>Отчет рассмотрен и утвержден на заседании коллегии Контрольно-счетной палаты Республики Хакасия 21 февраля 2019 года.</w:t>
      </w:r>
    </w:p>
    <w:p w:rsidR="00C10C93" w:rsidRPr="00BA4BE4" w:rsidRDefault="00C10C93" w:rsidP="00C1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C93" w:rsidRPr="00BA4BE4" w:rsidRDefault="00C10C93" w:rsidP="00C1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C93" w:rsidRPr="00BA4BE4" w:rsidRDefault="00C10C93" w:rsidP="00C1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C93" w:rsidRPr="00BA4BE4" w:rsidRDefault="00C10C93" w:rsidP="00C10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4BE4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BA4BE4">
        <w:rPr>
          <w:rFonts w:ascii="Times New Roman" w:hAnsi="Times New Roman"/>
          <w:sz w:val="26"/>
          <w:szCs w:val="26"/>
        </w:rPr>
        <w:t>Контрольно-счетной</w:t>
      </w:r>
      <w:proofErr w:type="gramEnd"/>
      <w:r w:rsidRPr="00BA4BE4">
        <w:rPr>
          <w:rFonts w:ascii="Times New Roman" w:hAnsi="Times New Roman"/>
          <w:sz w:val="26"/>
          <w:szCs w:val="26"/>
        </w:rPr>
        <w:t xml:space="preserve"> </w:t>
      </w:r>
    </w:p>
    <w:p w:rsidR="0060723A" w:rsidRPr="00BA4BE4" w:rsidRDefault="00C10C93" w:rsidP="00BA4BE4">
      <w:pPr>
        <w:pStyle w:val="u"/>
        <w:shd w:val="clear" w:color="auto" w:fill="FFFFFF"/>
        <w:ind w:firstLine="0"/>
        <w:rPr>
          <w:sz w:val="26"/>
          <w:szCs w:val="26"/>
        </w:rPr>
      </w:pPr>
      <w:r w:rsidRPr="00BA4BE4">
        <w:rPr>
          <w:color w:val="auto"/>
          <w:sz w:val="26"/>
          <w:szCs w:val="26"/>
        </w:rPr>
        <w:t>палаты Республики Хакасия                                                                                    О.А. Лях</w:t>
      </w:r>
      <w:r w:rsidR="00485969" w:rsidRPr="00BA4BE4">
        <w:rPr>
          <w:sz w:val="26"/>
          <w:szCs w:val="26"/>
        </w:rPr>
        <w:tab/>
      </w:r>
      <w:bookmarkEnd w:id="0"/>
    </w:p>
    <w:sectPr w:rsidR="0060723A" w:rsidRPr="00BA4BE4" w:rsidSect="00C10C93">
      <w:headerReference w:type="default" r:id="rId7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867" w:rsidRDefault="00AE4867" w:rsidP="00B025C2">
      <w:pPr>
        <w:spacing w:after="0" w:line="240" w:lineRule="auto"/>
      </w:pPr>
      <w:r>
        <w:separator/>
      </w:r>
    </w:p>
  </w:endnote>
  <w:endnote w:type="continuationSeparator" w:id="0">
    <w:p w:rsidR="00AE4867" w:rsidRDefault="00AE4867" w:rsidP="00B0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867" w:rsidRDefault="00AE4867" w:rsidP="00B025C2">
      <w:pPr>
        <w:spacing w:after="0" w:line="240" w:lineRule="auto"/>
      </w:pPr>
      <w:r>
        <w:separator/>
      </w:r>
    </w:p>
  </w:footnote>
  <w:footnote w:type="continuationSeparator" w:id="0">
    <w:p w:rsidR="00AE4867" w:rsidRDefault="00AE4867" w:rsidP="00B0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8408"/>
      <w:docPartObj>
        <w:docPartGallery w:val="Page Numbers (Top of Page)"/>
        <w:docPartUnique/>
      </w:docPartObj>
    </w:sdtPr>
    <w:sdtContent>
      <w:p w:rsidR="00AE4867" w:rsidRDefault="00AE4867">
        <w:pPr>
          <w:pStyle w:val="a7"/>
          <w:jc w:val="center"/>
        </w:pPr>
        <w:r w:rsidRPr="00B025C2">
          <w:rPr>
            <w:rFonts w:ascii="Times New Roman" w:hAnsi="Times New Roman"/>
          </w:rPr>
          <w:fldChar w:fldCharType="begin"/>
        </w:r>
        <w:r w:rsidRPr="00B025C2">
          <w:rPr>
            <w:rFonts w:ascii="Times New Roman" w:hAnsi="Times New Roman"/>
          </w:rPr>
          <w:instrText xml:space="preserve"> PAGE   \* MERGEFORMAT </w:instrText>
        </w:r>
        <w:r w:rsidRPr="00B025C2">
          <w:rPr>
            <w:rFonts w:ascii="Times New Roman" w:hAnsi="Times New Roman"/>
          </w:rPr>
          <w:fldChar w:fldCharType="separate"/>
        </w:r>
        <w:r w:rsidR="00850A65">
          <w:rPr>
            <w:rFonts w:ascii="Times New Roman" w:hAnsi="Times New Roman"/>
            <w:noProof/>
          </w:rPr>
          <w:t>2</w:t>
        </w:r>
        <w:r w:rsidRPr="00B025C2">
          <w:rPr>
            <w:rFonts w:ascii="Times New Roman" w:hAnsi="Times New Roman"/>
          </w:rPr>
          <w:fldChar w:fldCharType="end"/>
        </w:r>
      </w:p>
    </w:sdtContent>
  </w:sdt>
  <w:p w:rsidR="00AE4867" w:rsidRDefault="00AE486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001"/>
    <w:rsid w:val="00006FBF"/>
    <w:rsid w:val="000172F0"/>
    <w:rsid w:val="0002152B"/>
    <w:rsid w:val="00021F58"/>
    <w:rsid w:val="00034BD8"/>
    <w:rsid w:val="00037B48"/>
    <w:rsid w:val="00051F58"/>
    <w:rsid w:val="0005234D"/>
    <w:rsid w:val="000549AB"/>
    <w:rsid w:val="000710DE"/>
    <w:rsid w:val="00094CEB"/>
    <w:rsid w:val="00096E41"/>
    <w:rsid w:val="000A5326"/>
    <w:rsid w:val="000A5DE5"/>
    <w:rsid w:val="000C45CE"/>
    <w:rsid w:val="000D3BF0"/>
    <w:rsid w:val="000D55EA"/>
    <w:rsid w:val="000E2D2C"/>
    <w:rsid w:val="000E44A2"/>
    <w:rsid w:val="000E660C"/>
    <w:rsid w:val="00102D37"/>
    <w:rsid w:val="00104AA8"/>
    <w:rsid w:val="0011449B"/>
    <w:rsid w:val="00144475"/>
    <w:rsid w:val="0015406C"/>
    <w:rsid w:val="001624F0"/>
    <w:rsid w:val="0016613E"/>
    <w:rsid w:val="00185AA6"/>
    <w:rsid w:val="0019524D"/>
    <w:rsid w:val="001A20F4"/>
    <w:rsid w:val="001A4B8D"/>
    <w:rsid w:val="001B370C"/>
    <w:rsid w:val="001B3EAB"/>
    <w:rsid w:val="001B44C3"/>
    <w:rsid w:val="001C29E6"/>
    <w:rsid w:val="001C4813"/>
    <w:rsid w:val="001D6054"/>
    <w:rsid w:val="001E5001"/>
    <w:rsid w:val="00207AAC"/>
    <w:rsid w:val="00210BD7"/>
    <w:rsid w:val="00226E5E"/>
    <w:rsid w:val="002419A5"/>
    <w:rsid w:val="00246D6D"/>
    <w:rsid w:val="0028182F"/>
    <w:rsid w:val="00281D04"/>
    <w:rsid w:val="00283E65"/>
    <w:rsid w:val="002903D0"/>
    <w:rsid w:val="00292BEE"/>
    <w:rsid w:val="00294A9A"/>
    <w:rsid w:val="002A5F69"/>
    <w:rsid w:val="002A6066"/>
    <w:rsid w:val="002B255D"/>
    <w:rsid w:val="002D469E"/>
    <w:rsid w:val="002E54A3"/>
    <w:rsid w:val="002F4D82"/>
    <w:rsid w:val="00312809"/>
    <w:rsid w:val="00313C4E"/>
    <w:rsid w:val="00317387"/>
    <w:rsid w:val="00323276"/>
    <w:rsid w:val="00324FF8"/>
    <w:rsid w:val="00344080"/>
    <w:rsid w:val="00352B2D"/>
    <w:rsid w:val="0035606D"/>
    <w:rsid w:val="0038173B"/>
    <w:rsid w:val="003A68C0"/>
    <w:rsid w:val="003B29A0"/>
    <w:rsid w:val="003B29DE"/>
    <w:rsid w:val="003B57FD"/>
    <w:rsid w:val="003C1B06"/>
    <w:rsid w:val="003C3C4F"/>
    <w:rsid w:val="003C5AA3"/>
    <w:rsid w:val="0040632C"/>
    <w:rsid w:val="00406A3E"/>
    <w:rsid w:val="00414C83"/>
    <w:rsid w:val="0041768A"/>
    <w:rsid w:val="00437A76"/>
    <w:rsid w:val="0046755C"/>
    <w:rsid w:val="004764B1"/>
    <w:rsid w:val="0048071F"/>
    <w:rsid w:val="00480792"/>
    <w:rsid w:val="00483B99"/>
    <w:rsid w:val="00485969"/>
    <w:rsid w:val="00487C11"/>
    <w:rsid w:val="00496AB2"/>
    <w:rsid w:val="004B3F49"/>
    <w:rsid w:val="004B5026"/>
    <w:rsid w:val="004C79AB"/>
    <w:rsid w:val="004E1E12"/>
    <w:rsid w:val="004E5253"/>
    <w:rsid w:val="00513E40"/>
    <w:rsid w:val="00514214"/>
    <w:rsid w:val="00530D02"/>
    <w:rsid w:val="00535B10"/>
    <w:rsid w:val="00557602"/>
    <w:rsid w:val="00560B7C"/>
    <w:rsid w:val="00561472"/>
    <w:rsid w:val="00574F46"/>
    <w:rsid w:val="00590567"/>
    <w:rsid w:val="00590642"/>
    <w:rsid w:val="005A4C9C"/>
    <w:rsid w:val="005B23D2"/>
    <w:rsid w:val="005B40A5"/>
    <w:rsid w:val="005B5E29"/>
    <w:rsid w:val="005B74D2"/>
    <w:rsid w:val="005D0FAB"/>
    <w:rsid w:val="005D1AEE"/>
    <w:rsid w:val="005E6611"/>
    <w:rsid w:val="005F4B1B"/>
    <w:rsid w:val="00601BFA"/>
    <w:rsid w:val="0060723A"/>
    <w:rsid w:val="006214C7"/>
    <w:rsid w:val="00626C4B"/>
    <w:rsid w:val="00641818"/>
    <w:rsid w:val="00650570"/>
    <w:rsid w:val="00673A0A"/>
    <w:rsid w:val="0067448F"/>
    <w:rsid w:val="0067515E"/>
    <w:rsid w:val="00675B12"/>
    <w:rsid w:val="00681982"/>
    <w:rsid w:val="00690688"/>
    <w:rsid w:val="006B214C"/>
    <w:rsid w:val="006B54A9"/>
    <w:rsid w:val="006B7DE6"/>
    <w:rsid w:val="006D3D9F"/>
    <w:rsid w:val="006E3AA3"/>
    <w:rsid w:val="006E49AF"/>
    <w:rsid w:val="006F07CA"/>
    <w:rsid w:val="006F11D1"/>
    <w:rsid w:val="006F2B3F"/>
    <w:rsid w:val="006F3AFF"/>
    <w:rsid w:val="007041CE"/>
    <w:rsid w:val="00706A65"/>
    <w:rsid w:val="007168E6"/>
    <w:rsid w:val="00723615"/>
    <w:rsid w:val="007321E6"/>
    <w:rsid w:val="00755C81"/>
    <w:rsid w:val="00757D59"/>
    <w:rsid w:val="00767604"/>
    <w:rsid w:val="007730AD"/>
    <w:rsid w:val="00775481"/>
    <w:rsid w:val="00783FDF"/>
    <w:rsid w:val="0079139C"/>
    <w:rsid w:val="00793908"/>
    <w:rsid w:val="007B1FB8"/>
    <w:rsid w:val="007B4288"/>
    <w:rsid w:val="007C0D8B"/>
    <w:rsid w:val="007C21FB"/>
    <w:rsid w:val="007C5D8F"/>
    <w:rsid w:val="007D3A09"/>
    <w:rsid w:val="007E6B1C"/>
    <w:rsid w:val="007F240E"/>
    <w:rsid w:val="007F3EF1"/>
    <w:rsid w:val="007F4FBB"/>
    <w:rsid w:val="00801192"/>
    <w:rsid w:val="00801753"/>
    <w:rsid w:val="00807B08"/>
    <w:rsid w:val="008133DF"/>
    <w:rsid w:val="00815FEA"/>
    <w:rsid w:val="00821B73"/>
    <w:rsid w:val="00823A90"/>
    <w:rsid w:val="00830AA6"/>
    <w:rsid w:val="00835266"/>
    <w:rsid w:val="00837DB6"/>
    <w:rsid w:val="0084086E"/>
    <w:rsid w:val="008418B3"/>
    <w:rsid w:val="00850A65"/>
    <w:rsid w:val="0085489A"/>
    <w:rsid w:val="008565F4"/>
    <w:rsid w:val="00864E08"/>
    <w:rsid w:val="0086611B"/>
    <w:rsid w:val="00870092"/>
    <w:rsid w:val="0087124A"/>
    <w:rsid w:val="008722D2"/>
    <w:rsid w:val="00874368"/>
    <w:rsid w:val="00884EC1"/>
    <w:rsid w:val="008854DE"/>
    <w:rsid w:val="008A598B"/>
    <w:rsid w:val="008B2DEA"/>
    <w:rsid w:val="008B2E11"/>
    <w:rsid w:val="008C7FBA"/>
    <w:rsid w:val="008D0925"/>
    <w:rsid w:val="008D49FE"/>
    <w:rsid w:val="008D4CF0"/>
    <w:rsid w:val="00902EDC"/>
    <w:rsid w:val="00927A2E"/>
    <w:rsid w:val="0093172C"/>
    <w:rsid w:val="00935E12"/>
    <w:rsid w:val="00937DA4"/>
    <w:rsid w:val="00937EBE"/>
    <w:rsid w:val="00943DC7"/>
    <w:rsid w:val="00964754"/>
    <w:rsid w:val="00975D32"/>
    <w:rsid w:val="009760E9"/>
    <w:rsid w:val="00977F38"/>
    <w:rsid w:val="00983999"/>
    <w:rsid w:val="009A0153"/>
    <w:rsid w:val="009A5D6D"/>
    <w:rsid w:val="009B504D"/>
    <w:rsid w:val="009E22D8"/>
    <w:rsid w:val="00A037EC"/>
    <w:rsid w:val="00A049B4"/>
    <w:rsid w:val="00A30F9D"/>
    <w:rsid w:val="00A46611"/>
    <w:rsid w:val="00A617AE"/>
    <w:rsid w:val="00A649ED"/>
    <w:rsid w:val="00A728E7"/>
    <w:rsid w:val="00A85B50"/>
    <w:rsid w:val="00AA5F40"/>
    <w:rsid w:val="00AB06CB"/>
    <w:rsid w:val="00AC2DCF"/>
    <w:rsid w:val="00AC7DEC"/>
    <w:rsid w:val="00AD2EC9"/>
    <w:rsid w:val="00AE4867"/>
    <w:rsid w:val="00AF206A"/>
    <w:rsid w:val="00AF4517"/>
    <w:rsid w:val="00AF65FC"/>
    <w:rsid w:val="00B025C2"/>
    <w:rsid w:val="00B072BC"/>
    <w:rsid w:val="00B178C9"/>
    <w:rsid w:val="00B33E84"/>
    <w:rsid w:val="00B4748D"/>
    <w:rsid w:val="00B50086"/>
    <w:rsid w:val="00B539FE"/>
    <w:rsid w:val="00B64AED"/>
    <w:rsid w:val="00B66F23"/>
    <w:rsid w:val="00B672AD"/>
    <w:rsid w:val="00B8213F"/>
    <w:rsid w:val="00B91521"/>
    <w:rsid w:val="00B9283A"/>
    <w:rsid w:val="00BA4BE4"/>
    <w:rsid w:val="00BA70A6"/>
    <w:rsid w:val="00BB1AB1"/>
    <w:rsid w:val="00BB7EE1"/>
    <w:rsid w:val="00BC3216"/>
    <w:rsid w:val="00BE4777"/>
    <w:rsid w:val="00C02C4D"/>
    <w:rsid w:val="00C10C93"/>
    <w:rsid w:val="00C117AB"/>
    <w:rsid w:val="00C20477"/>
    <w:rsid w:val="00C5162B"/>
    <w:rsid w:val="00C63ED7"/>
    <w:rsid w:val="00C665B5"/>
    <w:rsid w:val="00C75BDA"/>
    <w:rsid w:val="00C82C2D"/>
    <w:rsid w:val="00C90345"/>
    <w:rsid w:val="00CB49A9"/>
    <w:rsid w:val="00CC79C9"/>
    <w:rsid w:val="00CD0546"/>
    <w:rsid w:val="00CE09E5"/>
    <w:rsid w:val="00CE2502"/>
    <w:rsid w:val="00CE6D6E"/>
    <w:rsid w:val="00CF73B8"/>
    <w:rsid w:val="00D16F50"/>
    <w:rsid w:val="00D222E1"/>
    <w:rsid w:val="00D223EF"/>
    <w:rsid w:val="00D249E7"/>
    <w:rsid w:val="00D3098C"/>
    <w:rsid w:val="00D57C80"/>
    <w:rsid w:val="00D63C68"/>
    <w:rsid w:val="00D6781F"/>
    <w:rsid w:val="00D74AEA"/>
    <w:rsid w:val="00D82961"/>
    <w:rsid w:val="00D84174"/>
    <w:rsid w:val="00D87B6E"/>
    <w:rsid w:val="00D93A59"/>
    <w:rsid w:val="00DA4986"/>
    <w:rsid w:val="00DB7551"/>
    <w:rsid w:val="00DC0D7F"/>
    <w:rsid w:val="00DC49BD"/>
    <w:rsid w:val="00DD0325"/>
    <w:rsid w:val="00E137F2"/>
    <w:rsid w:val="00E206A9"/>
    <w:rsid w:val="00E210A3"/>
    <w:rsid w:val="00E40EF5"/>
    <w:rsid w:val="00E42674"/>
    <w:rsid w:val="00E4567B"/>
    <w:rsid w:val="00E5652B"/>
    <w:rsid w:val="00E57D09"/>
    <w:rsid w:val="00E86B7C"/>
    <w:rsid w:val="00EA4F90"/>
    <w:rsid w:val="00EC5884"/>
    <w:rsid w:val="00EE1857"/>
    <w:rsid w:val="00EE339E"/>
    <w:rsid w:val="00EE7612"/>
    <w:rsid w:val="00F125B8"/>
    <w:rsid w:val="00F1501B"/>
    <w:rsid w:val="00F4571F"/>
    <w:rsid w:val="00F458EE"/>
    <w:rsid w:val="00F55492"/>
    <w:rsid w:val="00F62156"/>
    <w:rsid w:val="00F73E12"/>
    <w:rsid w:val="00FA3850"/>
    <w:rsid w:val="00FB2208"/>
    <w:rsid w:val="00FB3951"/>
    <w:rsid w:val="00FD1C7F"/>
    <w:rsid w:val="00FD460D"/>
    <w:rsid w:val="00FD528E"/>
    <w:rsid w:val="00FD7C81"/>
    <w:rsid w:val="00FF21FF"/>
    <w:rsid w:val="00FF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8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83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uiPriority w:val="99"/>
    <w:rsid w:val="00414C83"/>
    <w:pPr>
      <w:spacing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3">
    <w:name w:val="ТАНЯ"/>
    <w:basedOn w:val="a"/>
    <w:link w:val="a4"/>
    <w:qFormat/>
    <w:rsid w:val="00414C8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ТАНЯ Знак"/>
    <w:basedOn w:val="a0"/>
    <w:link w:val="a3"/>
    <w:rsid w:val="00414C83"/>
    <w:rPr>
      <w:rFonts w:ascii="Times New Roman" w:eastAsia="Times New Roman" w:hAnsi="Times New Roman"/>
      <w:sz w:val="26"/>
    </w:rPr>
  </w:style>
  <w:style w:type="character" w:styleId="a5">
    <w:name w:val="Strong"/>
    <w:basedOn w:val="a0"/>
    <w:qFormat/>
    <w:rsid w:val="00185AA6"/>
    <w:rPr>
      <w:rFonts w:ascii="Verdana" w:hAnsi="Verdana" w:hint="default"/>
      <w:b/>
      <w:bCs/>
    </w:rPr>
  </w:style>
  <w:style w:type="paragraph" w:customStyle="1" w:styleId="ConsPlusNormal">
    <w:name w:val="ConsPlusNormal"/>
    <w:rsid w:val="00185AA6"/>
    <w:pPr>
      <w:autoSpaceDE w:val="0"/>
      <w:autoSpaceDN w:val="0"/>
      <w:adjustRightInd w:val="0"/>
      <w:ind w:firstLine="0"/>
      <w:jc w:val="left"/>
    </w:pPr>
    <w:rPr>
      <w:rFonts w:cs="Arial"/>
      <w:sz w:val="20"/>
      <w:szCs w:val="20"/>
    </w:rPr>
  </w:style>
  <w:style w:type="paragraph" w:styleId="a6">
    <w:name w:val="List Paragraph"/>
    <w:basedOn w:val="a"/>
    <w:uiPriority w:val="34"/>
    <w:qFormat/>
    <w:rsid w:val="00185AA6"/>
    <w:pPr>
      <w:ind w:left="720"/>
      <w:contextualSpacing/>
    </w:pPr>
    <w:rPr>
      <w:rFonts w:eastAsia="Times New Roman"/>
      <w:lang w:eastAsia="ru-RU"/>
    </w:rPr>
  </w:style>
  <w:style w:type="character" w:customStyle="1" w:styleId="st">
    <w:name w:val="st"/>
    <w:basedOn w:val="a0"/>
    <w:rsid w:val="00185AA6"/>
  </w:style>
  <w:style w:type="paragraph" w:styleId="a7">
    <w:name w:val="header"/>
    <w:basedOn w:val="a"/>
    <w:link w:val="a8"/>
    <w:uiPriority w:val="99"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5C2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25C2"/>
    <w:rPr>
      <w:rFonts w:ascii="Calibri" w:eastAsia="Calibri" w:hAnsi="Calibri"/>
      <w:sz w:val="22"/>
      <w:szCs w:val="22"/>
    </w:rPr>
  </w:style>
  <w:style w:type="character" w:styleId="ab">
    <w:name w:val="Emphasis"/>
    <w:basedOn w:val="a0"/>
    <w:uiPriority w:val="20"/>
    <w:qFormat/>
    <w:rsid w:val="005D0FAB"/>
    <w:rPr>
      <w:i/>
      <w:iCs/>
    </w:rPr>
  </w:style>
  <w:style w:type="paragraph" w:styleId="ac">
    <w:name w:val="Normal (Web)"/>
    <w:basedOn w:val="a"/>
    <w:uiPriority w:val="99"/>
    <w:unhideWhenUsed/>
    <w:rsid w:val="005B7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8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83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uiPriority w:val="99"/>
    <w:rsid w:val="00414C83"/>
    <w:pPr>
      <w:spacing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3">
    <w:name w:val="ТАНЯ"/>
    <w:basedOn w:val="a"/>
    <w:link w:val="a4"/>
    <w:qFormat/>
    <w:rsid w:val="00414C8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ТАНЯ Знак"/>
    <w:basedOn w:val="a0"/>
    <w:link w:val="a3"/>
    <w:rsid w:val="00414C83"/>
    <w:rPr>
      <w:rFonts w:ascii="Times New Roman" w:eastAsia="Times New Roman" w:hAnsi="Times New Roman"/>
      <w:sz w:val="26"/>
    </w:rPr>
  </w:style>
  <w:style w:type="character" w:styleId="a5">
    <w:name w:val="Strong"/>
    <w:basedOn w:val="a0"/>
    <w:qFormat/>
    <w:rsid w:val="00185AA6"/>
    <w:rPr>
      <w:rFonts w:ascii="Verdana" w:hAnsi="Verdana" w:hint="default"/>
      <w:b/>
      <w:bCs/>
    </w:rPr>
  </w:style>
  <w:style w:type="paragraph" w:customStyle="1" w:styleId="ConsPlusNormal">
    <w:name w:val="ConsPlusNormal"/>
    <w:rsid w:val="00185AA6"/>
    <w:pPr>
      <w:autoSpaceDE w:val="0"/>
      <w:autoSpaceDN w:val="0"/>
      <w:adjustRightInd w:val="0"/>
      <w:ind w:firstLine="0"/>
      <w:jc w:val="left"/>
    </w:pPr>
    <w:rPr>
      <w:rFonts w:cs="Arial"/>
      <w:sz w:val="20"/>
      <w:szCs w:val="20"/>
    </w:rPr>
  </w:style>
  <w:style w:type="paragraph" w:styleId="a6">
    <w:name w:val="List Paragraph"/>
    <w:basedOn w:val="a"/>
    <w:uiPriority w:val="34"/>
    <w:qFormat/>
    <w:rsid w:val="00185AA6"/>
    <w:pPr>
      <w:ind w:left="720"/>
      <w:contextualSpacing/>
    </w:pPr>
    <w:rPr>
      <w:rFonts w:eastAsia="Times New Roman"/>
      <w:lang w:eastAsia="ru-RU"/>
    </w:rPr>
  </w:style>
  <w:style w:type="character" w:customStyle="1" w:styleId="st">
    <w:name w:val="st"/>
    <w:basedOn w:val="a0"/>
    <w:rsid w:val="00185AA6"/>
  </w:style>
  <w:style w:type="paragraph" w:styleId="a7">
    <w:name w:val="header"/>
    <w:basedOn w:val="a"/>
    <w:link w:val="a8"/>
    <w:uiPriority w:val="99"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5C2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25C2"/>
    <w:rPr>
      <w:rFonts w:ascii="Calibri" w:eastAsia="Calibri" w:hAnsi="Calibri"/>
      <w:sz w:val="22"/>
      <w:szCs w:val="22"/>
    </w:rPr>
  </w:style>
  <w:style w:type="character" w:styleId="ab">
    <w:name w:val="Emphasis"/>
    <w:basedOn w:val="a0"/>
    <w:uiPriority w:val="20"/>
    <w:qFormat/>
    <w:rsid w:val="005D0FAB"/>
    <w:rPr>
      <w:i/>
      <w:iCs/>
    </w:rPr>
  </w:style>
  <w:style w:type="paragraph" w:styleId="ac">
    <w:name w:val="Normal (Web)"/>
    <w:basedOn w:val="a"/>
    <w:uiPriority w:val="99"/>
    <w:unhideWhenUsed/>
    <w:rsid w:val="005B7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2A068E-24E6-4B26-BC57-12852F85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</dc:creator>
  <cp:lastModifiedBy>kazak</cp:lastModifiedBy>
  <cp:revision>3</cp:revision>
  <cp:lastPrinted>2015-06-03T09:34:00Z</cp:lastPrinted>
  <dcterms:created xsi:type="dcterms:W3CDTF">2019-02-22T09:00:00Z</dcterms:created>
  <dcterms:modified xsi:type="dcterms:W3CDTF">2019-02-25T03:04:00Z</dcterms:modified>
</cp:coreProperties>
</file>